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252095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March 17, 2021 (March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244475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Microsoft Corporation</w:t>
      </w:r>
    </w:p>
    <w:p>
      <w:pPr>
        <w:spacing w:after="0" w:line="6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100330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06" w:right="4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020"/>
        <w:spacing w:after="0"/>
        <w:rPr>
          <w:sz w:val="20"/>
          <w:szCs w:val="20"/>
          <w:color w:val="auto"/>
        </w:rPr>
      </w:pPr>
      <w:r>
        <w:rPr>
          <w:rFonts w:ascii="Arial" w:cs="Arial" w:eastAsia="Arial" w:hAnsi="Arial"/>
          <w:sz w:val="17"/>
          <w:szCs w:val="17"/>
          <w:b w:val="1"/>
          <w:bCs w:val="1"/>
          <w:color w:val="auto"/>
        </w:rPr>
        <w:t>001-37845</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91-1144442</w:t>
      </w:r>
    </w:p>
    <w:p>
      <w:pPr>
        <w:spacing w:after="0" w:line="36" w:lineRule="exact"/>
        <w:rPr>
          <w:sz w:val="24"/>
          <w:szCs w:val="24"/>
          <w:color w:val="auto"/>
        </w:rPr>
      </w:pPr>
    </w:p>
    <w:p>
      <w:pPr>
        <w:sectPr>
          <w:pgSz w:w="11900" w:h="16838" w:orient="portrait"/>
          <w:cols w:equalWidth="0" w:num="3">
            <w:col w:w="4464" w:space="720"/>
            <w:col w:w="2880" w:space="720"/>
            <w:col w:w="2240"/>
          </w:cols>
          <w:pgMar w:left="436" w:top="306"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06" w:right="439" w:bottom="1440" w:gutter="0" w:footer="0" w:header="0"/>
          <w:type w:val="continuous"/>
        </w:sectPr>
      </w:pPr>
    </w:p>
    <w:p>
      <w:pPr>
        <w:spacing w:after="0" w:line="30" w:lineRule="exact"/>
        <w:rPr>
          <w:sz w:val="24"/>
          <w:szCs w:val="24"/>
          <w:color w:val="auto"/>
        </w:rPr>
      </w:pPr>
    </w:p>
    <w:p>
      <w:pPr>
        <w:ind w:left="944"/>
        <w:spacing w:after="0"/>
        <w:rPr>
          <w:sz w:val="20"/>
          <w:szCs w:val="20"/>
          <w:color w:val="auto"/>
        </w:rPr>
      </w:pPr>
      <w:r>
        <w:rPr>
          <w:rFonts w:ascii="Arial" w:cs="Arial" w:eastAsia="Arial" w:hAnsi="Arial"/>
          <w:sz w:val="17"/>
          <w:szCs w:val="17"/>
          <w:b w:val="1"/>
          <w:bCs w:val="1"/>
          <w:color w:val="auto"/>
        </w:rPr>
        <w:t>One Microsoft Way, Redmond, Washington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98052-6399</w:t>
      </w:r>
    </w:p>
    <w:p>
      <w:pPr>
        <w:spacing w:after="0" w:line="43" w:lineRule="exact"/>
        <w:rPr>
          <w:sz w:val="24"/>
          <w:szCs w:val="24"/>
          <w:color w:val="auto"/>
        </w:rPr>
      </w:pPr>
    </w:p>
    <w:p>
      <w:pPr>
        <w:sectPr>
          <w:pgSz w:w="11900" w:h="16838" w:orient="portrait"/>
          <w:cols w:equalWidth="0" w:num="2">
            <w:col w:w="7144" w:space="720"/>
            <w:col w:w="3160"/>
          </w:cols>
          <w:pgMar w:left="436" w:top="306" w:right="439" w:bottom="1440" w:gutter="0" w:footer="0" w:header="0"/>
          <w:type w:val="continuous"/>
        </w:sectPr>
      </w:pPr>
    </w:p>
    <w:p>
      <w:pPr>
        <w:ind w:left="1424"/>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64" w:space="720"/>
            <w:col w:w="3040"/>
          </w:cols>
          <w:pgMar w:left="436" w:top="306"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(425) 882-8080</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www.microsoft.com/investor</w:t>
      </w:r>
    </w:p>
    <w:p>
      <w:pPr>
        <w:spacing w:after="0" w:line="211" w:lineRule="exact"/>
        <w:rPr>
          <w:sz w:val="24"/>
          <w:szCs w:val="24"/>
          <w:color w:val="auto"/>
        </w:rPr>
      </w:pPr>
    </w:p>
    <w:p>
      <w:pPr>
        <w:ind w:left="4" w:right="1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0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71"/>
        </w:trPr>
        <w:tc>
          <w:tcPr>
            <w:tcW w:w="6040" w:type="dxa"/>
            <w:vAlign w:val="bottom"/>
            <w:gridSpan w:val="2"/>
          </w:tcPr>
          <w:p>
            <w:pPr>
              <w:ind w:left="1960"/>
              <w:spacing w:after="0"/>
              <w:rPr>
                <w:sz w:val="20"/>
                <w:szCs w:val="20"/>
                <w:color w:val="auto"/>
              </w:rPr>
            </w:pPr>
            <w:r>
              <w:rPr>
                <w:rFonts w:ascii="Arial" w:cs="Arial" w:eastAsia="Arial" w:hAnsi="Arial"/>
                <w:sz w:val="14"/>
                <w:szCs w:val="14"/>
                <w:color w:val="auto"/>
              </w:rPr>
              <w:t>Title of each class</w:t>
            </w:r>
          </w:p>
        </w:tc>
        <w:tc>
          <w:tcPr>
            <w:tcW w:w="2120" w:type="dxa"/>
            <w:vAlign w:val="bottom"/>
            <w:gridSpan w:val="2"/>
          </w:tcPr>
          <w:p>
            <w:pPr>
              <w:jc w:val="center"/>
              <w:ind w:right="960"/>
              <w:spacing w:after="0"/>
              <w:rPr>
                <w:sz w:val="20"/>
                <w:szCs w:val="20"/>
                <w:color w:val="auto"/>
              </w:rPr>
            </w:pPr>
            <w:r>
              <w:rPr>
                <w:rFonts w:ascii="Arial" w:cs="Arial" w:eastAsia="Arial" w:hAnsi="Arial"/>
                <w:sz w:val="14"/>
                <w:szCs w:val="14"/>
                <w:color w:val="auto"/>
              </w:rPr>
              <w:t>Trading Symbol(s)</w:t>
            </w:r>
          </w:p>
        </w:tc>
        <w:tc>
          <w:tcPr>
            <w:tcW w:w="286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73"/>
        </w:trPr>
        <w:tc>
          <w:tcPr>
            <w:tcW w:w="50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Common stock, $0.00000625 par value per share</w:t>
            </w:r>
          </w:p>
        </w:tc>
        <w:tc>
          <w:tcPr>
            <w:tcW w:w="960" w:type="dxa"/>
            <w:vAlign w:val="bottom"/>
          </w:tcPr>
          <w:p>
            <w:pPr>
              <w:spacing w:after="0"/>
              <w:rPr>
                <w:sz w:val="15"/>
                <w:szCs w:val="15"/>
                <w:color w:val="auto"/>
              </w:rPr>
            </w:pPr>
          </w:p>
        </w:tc>
        <w:tc>
          <w:tcPr>
            <w:tcW w:w="116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7"/>
              </w:rPr>
              <w:t>MSFT</w:t>
            </w:r>
          </w:p>
        </w:tc>
        <w:tc>
          <w:tcPr>
            <w:tcW w:w="960" w:type="dxa"/>
            <w:vAlign w:val="bottom"/>
          </w:tcPr>
          <w:p>
            <w:pPr>
              <w:spacing w:after="0"/>
              <w:rPr>
                <w:sz w:val="15"/>
                <w:szCs w:val="15"/>
                <w:color w:val="auto"/>
              </w:rPr>
            </w:pPr>
          </w:p>
        </w:tc>
        <w:tc>
          <w:tcPr>
            <w:tcW w:w="286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NASDAQ</w:t>
            </w: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2.125% Notes due 2021</w:t>
            </w:r>
          </w:p>
        </w:tc>
        <w:tc>
          <w:tcPr>
            <w:tcW w:w="2120" w:type="dxa"/>
            <w:vAlign w:val="bottom"/>
            <w:gridSpan w:val="2"/>
          </w:tcPr>
          <w:p>
            <w:pPr>
              <w:jc w:val="center"/>
              <w:ind w:right="960"/>
              <w:spacing w:after="0" w:line="202" w:lineRule="exact"/>
              <w:rPr>
                <w:sz w:val="20"/>
                <w:szCs w:val="20"/>
                <w:color w:val="auto"/>
              </w:rPr>
            </w:pPr>
            <w:r>
              <w:rPr>
                <w:rFonts w:ascii="Arial" w:cs="Arial" w:eastAsia="Arial" w:hAnsi="Arial"/>
                <w:sz w:val="18"/>
                <w:szCs w:val="18"/>
                <w:b w:val="1"/>
                <w:bCs w:val="1"/>
                <w:color w:val="auto"/>
                <w:w w:val="97"/>
              </w:rPr>
              <w:t>MSFT</w:t>
            </w:r>
          </w:p>
        </w:tc>
        <w:tc>
          <w:tcPr>
            <w:tcW w:w="28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3.125% Notes due 2028</w:t>
            </w:r>
          </w:p>
        </w:tc>
        <w:tc>
          <w:tcPr>
            <w:tcW w:w="2120" w:type="dxa"/>
            <w:vAlign w:val="bottom"/>
            <w:gridSpan w:val="2"/>
          </w:tcPr>
          <w:p>
            <w:pPr>
              <w:jc w:val="center"/>
              <w:ind w:right="960"/>
              <w:spacing w:after="0" w:line="202" w:lineRule="exact"/>
              <w:rPr>
                <w:sz w:val="20"/>
                <w:szCs w:val="20"/>
                <w:color w:val="auto"/>
              </w:rPr>
            </w:pPr>
            <w:r>
              <w:rPr>
                <w:rFonts w:ascii="Arial" w:cs="Arial" w:eastAsia="Arial" w:hAnsi="Arial"/>
                <w:sz w:val="18"/>
                <w:szCs w:val="18"/>
                <w:b w:val="1"/>
                <w:bCs w:val="1"/>
                <w:color w:val="auto"/>
                <w:w w:val="97"/>
              </w:rPr>
              <w:t>MSFT</w:t>
            </w:r>
          </w:p>
        </w:tc>
        <w:tc>
          <w:tcPr>
            <w:tcW w:w="28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39"/>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2.625% Notes due 2033</w:t>
            </w:r>
          </w:p>
        </w:tc>
        <w:tc>
          <w:tcPr>
            <w:tcW w:w="21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7"/>
              </w:rPr>
              <w:t>MSFT</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r>
    </w:tbl>
    <w:p>
      <w:pPr>
        <w:spacing w:after="0" w:line="202" w:lineRule="exact"/>
        <w:rPr>
          <w:sz w:val="24"/>
          <w:szCs w:val="24"/>
          <w:color w:val="auto"/>
        </w:rPr>
      </w:pPr>
    </w:p>
    <w:p>
      <w:pPr>
        <w:ind w:left="4" w:right="6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ind w:left="8664"/>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3" w:lineRule="exact"/>
        <w:rPr>
          <w:sz w:val="24"/>
          <w:szCs w:val="24"/>
          <w:color w:val="auto"/>
        </w:rPr>
      </w:pPr>
    </w:p>
    <w:p>
      <w:pPr>
        <w:ind w:left="4" w:right="8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06"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 Other Events.</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March 16, 2021, Microsoft Corporation (the “Company”) issued a press release announcing the expiration of its previously announced exchange offers for certain of its outstanding debt securities that were validly tendered (and not validly withdrawn) by holders at or prior to such expiration at 11:59 p.m., New York City time, on March 15, 2021 (the “Exchange Offers”). The press release has been revised to reflect that the aggregate amount of 3.041% Notes due 2062 to be issued in connection with the Exchange Offers is $1,934,966,000 rather than $1,934,476,000 as previously indicated. The revised press release with the updated amount is attached hereto as Exhibit 99.1 and is incorporated herein by reference. Other than as discussed above, no other changes have been made to the original press release.</w:t>
      </w:r>
    </w:p>
    <w:p>
      <w:pPr>
        <w:spacing w:after="0" w:line="19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On March 17, 2021, in connection with the settlement of the Exchange Offers, the Company issued $6,250,000,000 aggregate principal amount of its 2.921% Notes due 2052 (the “2052 Notes”) and $1,934,966,000 aggregate principal amount of its 3.041% Notes due 2062 (the “2062 Notes”) (collectively, the “New Notes”). The New Notes were exchanged in the Exchange Offers pursuant to the terms and conditions set forth in the Company’s prospectus, dated March 4, 2021 (the “Prospectus”), filed with the Securities and Exchange Commission on March 4, 2021.</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New Notes were issued pursuant to an indenture, dated as of May 18, 2009 (the “Base Indenture”), between the Company and The Bank of New York Mellon Trust Company, N.A., as trustee, as amended and supplemented by the Fourteenth Supplemental Indenture thereto, dated as of March 17, 2021 (the “Fourteenth Supplemental Indenture”), between the Company and The Bank of New York Mellon Trust Company, N.A., as trustee.</w:t>
      </w:r>
    </w:p>
    <w:p>
      <w:pPr>
        <w:spacing w:after="0" w:line="20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Base Indenture is set forth as Exhibit 4.1 to the Company’s Registration Statement on Form S-4 (File No. 333-253138), as amended by Amendment No. 1 thereto.</w:t>
      </w:r>
    </w:p>
    <w:p>
      <w:pPr>
        <w:spacing w:after="0" w:line="1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Interest on the New Notes will be payable semi-annually in arrears on March 17 and September 17 of each year, commencing on September 17, 2021, to holders of record on the preceding March 2 or September 2, as the case may be. The 2052 Notes will mature on March 17, 2052 and the 2062 Notes will mature on March 17, 2062.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have the option to redeem the New Notes in certain circumstances described in the Prospectus.</w:t>
      </w:r>
    </w:p>
    <w:p>
      <w:pPr>
        <w:spacing w:after="0" w:line="21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New Notes will be the Company’s senior unsecured obligations and will rank equally with the Company’s other unsecured and unsubordinated debt from time to time outstanding.</w:t>
      </w:r>
    </w:p>
    <w:p>
      <w:pPr>
        <w:spacing w:after="0" w:line="1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foregoing descriptions of the Fourteenth Supplemental Indenture (including the forms of the New Notes) are qualified in their entirety by the terms of such agreement. Please refer to such agreement, which is incorporated herein by reference and attached hereto as Exhibit 4.1.</w:t>
      </w:r>
    </w:p>
    <w:p>
      <w:pPr>
        <w:sectPr>
          <w:pgSz w:w="11900" w:h="16838" w:orient="portrait"/>
          <w:cols w:equalWidth="0" w:num="1">
            <w:col w:w="10940"/>
          </w:cols>
          <w:pgMar w:left="440" w:top="292"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9.01 Financial Statements and Exhibits.</w:t>
      </w:r>
    </w:p>
    <w:p>
      <w:pPr>
        <w:spacing w:after="0" w:line="126" w:lineRule="exact"/>
        <w:rPr>
          <w:sz w:val="20"/>
          <w:szCs w:val="20"/>
          <w:color w:val="auto"/>
        </w:rPr>
      </w:pPr>
    </w:p>
    <w:p>
      <w:pPr>
        <w:ind w:left="700" w:hanging="26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9" w:lineRule="exact"/>
        <w:rPr>
          <w:sz w:val="20"/>
          <w:szCs w:val="20"/>
          <w:color w:val="auto"/>
        </w:rPr>
      </w:pPr>
    </w:p>
    <w:p>
      <w:pPr>
        <w:ind w:left="1180" w:hanging="642"/>
        <w:spacing w:after="0"/>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5">
        <w:r>
          <w:rPr>
            <w:rFonts w:ascii="Arial" w:cs="Arial" w:eastAsia="Arial" w:hAnsi="Arial"/>
            <w:sz w:val="18"/>
            <w:szCs w:val="18"/>
            <w:u w:val="single" w:color="auto"/>
            <w:color w:val="0000EE"/>
          </w:rPr>
          <w:t>Fourteenth Supplemental Indenture, dated March 17, 2021, between Microsoft Corporation and The Bank of New York</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Mellon Trust Company, N.A., as trustee, to the Indenture, dated as of May 18, 2009, between Microsoft Corporation and</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The Bank of New York Mellon Trust Company, N.A., as trustee.</w:t>
        </w:r>
      </w:hyperlink>
    </w:p>
    <w:p>
      <w:pPr>
        <w:spacing w:after="0" w:line="95" w:lineRule="exact"/>
        <w:rPr>
          <w:rFonts w:ascii="Arial" w:cs="Arial" w:eastAsia="Arial" w:hAnsi="Arial"/>
          <w:sz w:val="18"/>
          <w:szCs w:val="18"/>
          <w:u w:val="single" w:color="auto"/>
          <w:color w:val="0000EE"/>
        </w:rPr>
      </w:pPr>
    </w:p>
    <w:p>
      <w:pPr>
        <w:ind w:left="540"/>
        <w:spacing w:after="0"/>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w:anchor="page5">
        <w:r>
          <w:rPr>
            <w:rFonts w:ascii="Arial" w:cs="Arial" w:eastAsia="Arial" w:hAnsi="Arial"/>
            <w:sz w:val="17"/>
            <w:szCs w:val="17"/>
            <w:u w:val="single" w:color="auto"/>
            <w:color w:val="0000EE"/>
          </w:rPr>
          <w:t>Form of Global Note representing the 2.921% Notes due 2052 (included in Exhibit 4.1).</w:t>
        </w:r>
      </w:hyperlink>
    </w:p>
    <w:p>
      <w:pPr>
        <w:spacing w:after="0" w:line="104" w:lineRule="exact"/>
        <w:rPr>
          <w:rFonts w:ascii="Arial" w:cs="Arial" w:eastAsia="Arial" w:hAnsi="Arial"/>
          <w:sz w:val="18"/>
          <w:szCs w:val="18"/>
          <w:u w:val="single" w:color="auto"/>
          <w:color w:val="0000EE"/>
        </w:rPr>
      </w:pPr>
    </w:p>
    <w:p>
      <w:pPr>
        <w:ind w:left="540"/>
        <w:spacing w:after="0"/>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4.3</w:t>
      </w:r>
      <w:r>
        <w:rPr>
          <w:sz w:val="20"/>
          <w:szCs w:val="20"/>
          <w:color w:val="auto"/>
        </w:rPr>
        <w:tab/>
      </w:r>
      <w:hyperlink w:anchor="page5">
        <w:r>
          <w:rPr>
            <w:rFonts w:ascii="Arial" w:cs="Arial" w:eastAsia="Arial" w:hAnsi="Arial"/>
            <w:sz w:val="17"/>
            <w:szCs w:val="17"/>
            <w:u w:val="single" w:color="auto"/>
            <w:color w:val="0000EE"/>
          </w:rPr>
          <w:t>Form of Global Note representing the 3.041% Notes due 2062 (included in Exhibit 4.1).</w:t>
        </w:r>
      </w:hyperlink>
    </w:p>
    <w:p>
      <w:pPr>
        <w:spacing w:after="0" w:line="86" w:lineRule="exact"/>
        <w:rPr>
          <w:rFonts w:ascii="Arial" w:cs="Arial" w:eastAsia="Arial" w:hAnsi="Arial"/>
          <w:sz w:val="18"/>
          <w:szCs w:val="18"/>
          <w:u w:val="single" w:color="auto"/>
          <w:color w:val="0000EE"/>
        </w:rPr>
      </w:pPr>
    </w:p>
    <w:p>
      <w:pPr>
        <w:ind w:left="440"/>
        <w:spacing w:after="0"/>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w:anchor="page32">
        <w:r>
          <w:rPr>
            <w:rFonts w:ascii="Arial" w:cs="Arial" w:eastAsia="Arial" w:hAnsi="Arial"/>
            <w:sz w:val="17"/>
            <w:szCs w:val="17"/>
            <w:u w:val="single" w:color="auto"/>
            <w:color w:val="0000EE"/>
          </w:rPr>
          <w:t>Press Release, dated March 16, 2021, issued by Microsoft Corporation [</w:t>
        </w:r>
        <w:r>
          <w:rPr>
            <w:rFonts w:ascii="Arial" w:cs="Arial" w:eastAsia="Arial" w:hAnsi="Arial"/>
            <w:sz w:val="17"/>
            <w:szCs w:val="17"/>
            <w:i w:val="1"/>
            <w:iCs w:val="1"/>
            <w:u w:val="single" w:color="auto"/>
            <w:color w:val="0000EE"/>
          </w:rPr>
          <w:t>Revised March 17, 2021</w:t>
        </w:r>
        <w:r>
          <w:rPr>
            <w:rFonts w:ascii="Arial" w:cs="Arial" w:eastAsia="Arial" w:hAnsi="Arial"/>
            <w:sz w:val="17"/>
            <w:szCs w:val="17"/>
            <w:u w:val="single" w:color="auto"/>
            <w:color w:val="0000EE"/>
          </w:rPr>
          <w:t>].</w:t>
        </w:r>
      </w:hyperlink>
    </w:p>
    <w:p>
      <w:pPr>
        <w:spacing w:after="0" w:line="122" w:lineRule="exact"/>
        <w:rPr>
          <w:rFonts w:ascii="Arial" w:cs="Arial" w:eastAsia="Arial" w:hAnsi="Arial"/>
          <w:sz w:val="18"/>
          <w:szCs w:val="18"/>
          <w:u w:val="single" w:color="auto"/>
          <w:color w:val="0000EE"/>
        </w:rPr>
      </w:pPr>
    </w:p>
    <w:p>
      <w:pPr>
        <w:ind w:left="44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700"/>
          </w:cols>
          <w:pgMar w:left="440" w:top="292" w:right="75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MICROSOFT CORPORATION</w:t>
      </w:r>
    </w:p>
    <w:p>
      <w:pPr>
        <w:jc w:val="center"/>
        <w:ind w:left="57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Date: March 17, 2021</w:t>
      </w:r>
      <w:r>
        <w:rPr>
          <w:sz w:val="20"/>
          <w:szCs w:val="20"/>
          <w:color w:val="auto"/>
        </w:rPr>
        <w:tab/>
      </w:r>
      <w:r>
        <w:rPr>
          <w:rFonts w:ascii="Arial" w:cs="Arial" w:eastAsia="Arial" w:hAnsi="Arial"/>
          <w:sz w:val="18"/>
          <w:szCs w:val="18"/>
          <w:color w:val="auto"/>
        </w:rPr>
        <w:t>/s/ Alice L. Jolla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-1905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18"/>
          <w:szCs w:val="18"/>
          <w:color w:val="auto"/>
        </w:rPr>
        <w:t>Alice L. Jolla</w:t>
      </w:r>
    </w:p>
    <w:p>
      <w:pPr>
        <w:jc w:val="center"/>
        <w:ind w:left="5720"/>
        <w:spacing w:after="0" w:line="234" w:lineRule="auto"/>
        <w:rPr>
          <w:sz w:val="20"/>
          <w:szCs w:val="20"/>
          <w:color w:val="auto"/>
        </w:rPr>
      </w:pPr>
      <w:r>
        <w:rPr>
          <w:rFonts w:ascii="Arial" w:cs="Arial" w:eastAsia="Arial" w:hAnsi="Arial"/>
          <w:sz w:val="18"/>
          <w:szCs w:val="18"/>
          <w:color w:val="auto"/>
        </w:rPr>
        <w:t>Corporate Vice President and</w:t>
      </w:r>
    </w:p>
    <w:p>
      <w:pPr>
        <w:spacing w:after="0" w:line="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0860"/>
          </w:cols>
          <w:pgMar w:left="440" w:top="292"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FOURTEENTH SUPPLEMENTAL INDENTURE</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Dated as of March 17, 2021</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MICROSOFT CORPORATION,</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as Issuer</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THE BANK OF NEW YORK MELLON TRUST COMPANY, N.A.,</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as Trustee</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INDENTURE</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Dated as of May 18, 2009</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MICROSOFT CORPORATION, as Issuer</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21"/>
          <w:szCs w:val="21"/>
          <w:b w:val="1"/>
          <w:bCs w:val="1"/>
          <w:color w:val="auto"/>
        </w:rPr>
        <w:t>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244475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2.921% Notes due 2052</w:t>
      </w:r>
    </w:p>
    <w:p>
      <w:pPr>
        <w:spacing w:after="0" w:line="206"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3.041% Notes due 2062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245745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18"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5"/>
        </w:trPr>
        <w:tc>
          <w:tcPr>
            <w:tcW w:w="2040" w:type="dxa"/>
            <w:vAlign w:val="bottom"/>
          </w:tcPr>
          <w:p>
            <w:pPr>
              <w:spacing w:after="0"/>
              <w:rPr>
                <w:sz w:val="24"/>
                <w:szCs w:val="24"/>
                <w:color w:val="auto"/>
              </w:rPr>
            </w:pPr>
          </w:p>
        </w:tc>
        <w:tc>
          <w:tcPr>
            <w:tcW w:w="8380" w:type="dxa"/>
            <w:vAlign w:val="bottom"/>
          </w:tcPr>
          <w:p>
            <w:pPr>
              <w:ind w:left="2300"/>
              <w:spacing w:after="0"/>
              <w:rPr>
                <w:sz w:val="20"/>
                <w:szCs w:val="20"/>
                <w:color w:val="auto"/>
              </w:rPr>
            </w:pPr>
            <w:r>
              <w:rPr>
                <w:rFonts w:ascii="Arial" w:cs="Arial" w:eastAsia="Arial" w:hAnsi="Arial"/>
                <w:sz w:val="22"/>
                <w:szCs w:val="22"/>
                <w:b w:val="1"/>
                <w:bCs w:val="1"/>
                <w:color w:val="auto"/>
              </w:rPr>
              <w:t>TABLE OF CONTENTS</w:t>
            </w:r>
          </w:p>
        </w:tc>
        <w:tc>
          <w:tcPr>
            <w:tcW w:w="520" w:type="dxa"/>
            <w:vAlign w:val="bottom"/>
          </w:tcPr>
          <w:p>
            <w:pPr>
              <w:spacing w:after="0"/>
              <w:rPr>
                <w:sz w:val="24"/>
                <w:szCs w:val="24"/>
                <w:color w:val="auto"/>
              </w:rPr>
            </w:pPr>
          </w:p>
        </w:tc>
      </w:tr>
      <w:tr>
        <w:trPr>
          <w:trHeight w:val="476"/>
        </w:trPr>
        <w:tc>
          <w:tcPr>
            <w:tcW w:w="20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4"/>
              </w:rPr>
              <w:t>Page</w:t>
            </w:r>
          </w:p>
        </w:tc>
      </w:tr>
      <w:tr>
        <w:trPr>
          <w:trHeight w:val="409"/>
        </w:trPr>
        <w:tc>
          <w:tcPr>
            <w:tcW w:w="10420" w:type="dxa"/>
            <w:vAlign w:val="bottom"/>
            <w:gridSpan w:val="2"/>
          </w:tcPr>
          <w:p>
            <w:pPr>
              <w:spacing w:after="0"/>
              <w:rPr>
                <w:sz w:val="20"/>
                <w:szCs w:val="20"/>
                <w:color w:val="auto"/>
              </w:rPr>
            </w:pPr>
            <w:r>
              <w:rPr>
                <w:rFonts w:ascii="Arial" w:cs="Arial" w:eastAsia="Arial" w:hAnsi="Arial"/>
                <w:sz w:val="22"/>
                <w:szCs w:val="22"/>
                <w:color w:val="auto"/>
              </w:rPr>
              <w:t>ARTICLE 1. DEFINITIONS</w:t>
            </w:r>
          </w:p>
        </w:tc>
        <w:tc>
          <w:tcPr>
            <w:tcW w:w="5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59"/>
        </w:trPr>
        <w:tc>
          <w:tcPr>
            <w:tcW w:w="2040" w:type="dxa"/>
            <w:vAlign w:val="bottom"/>
          </w:tcPr>
          <w:p>
            <w:pPr>
              <w:ind w:left="640"/>
              <w:spacing w:after="0"/>
              <w:rPr>
                <w:sz w:val="20"/>
                <w:szCs w:val="20"/>
                <w:color w:val="auto"/>
              </w:rPr>
            </w:pPr>
            <w:r>
              <w:rPr>
                <w:rFonts w:ascii="Arial" w:cs="Arial" w:eastAsia="Arial" w:hAnsi="Arial"/>
                <w:sz w:val="22"/>
                <w:szCs w:val="22"/>
                <w:color w:val="auto"/>
              </w:rPr>
              <w:t>Section 1.1.</w:t>
            </w:r>
          </w:p>
        </w:tc>
        <w:tc>
          <w:tcPr>
            <w:tcW w:w="8380" w:type="dxa"/>
            <w:vAlign w:val="bottom"/>
          </w:tcPr>
          <w:p>
            <w:pPr>
              <w:ind w:left="140"/>
              <w:spacing w:after="0"/>
              <w:rPr>
                <w:sz w:val="20"/>
                <w:szCs w:val="20"/>
                <w:color w:val="auto"/>
              </w:rPr>
            </w:pPr>
            <w:r>
              <w:rPr>
                <w:rFonts w:ascii="Arial" w:cs="Arial" w:eastAsia="Arial" w:hAnsi="Arial"/>
                <w:sz w:val="22"/>
                <w:szCs w:val="22"/>
                <w:color w:val="auto"/>
              </w:rPr>
              <w:t>Definition of Terms</w:t>
            </w:r>
          </w:p>
        </w:tc>
        <w:tc>
          <w:tcPr>
            <w:tcW w:w="5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59"/>
        </w:trPr>
        <w:tc>
          <w:tcPr>
            <w:tcW w:w="10420" w:type="dxa"/>
            <w:vAlign w:val="bottom"/>
            <w:gridSpan w:val="2"/>
          </w:tcPr>
          <w:p>
            <w:pPr>
              <w:spacing w:after="0"/>
              <w:rPr>
                <w:sz w:val="20"/>
                <w:szCs w:val="20"/>
                <w:color w:val="auto"/>
              </w:rPr>
            </w:pPr>
            <w:r>
              <w:rPr>
                <w:rFonts w:ascii="Arial" w:cs="Arial" w:eastAsia="Arial" w:hAnsi="Arial"/>
                <w:sz w:val="22"/>
                <w:szCs w:val="22"/>
                <w:color w:val="auto"/>
              </w:rPr>
              <w:t>ARTICLE 2. TERMS AND CONDITIONS OF NOTES</w:t>
            </w:r>
          </w:p>
        </w:tc>
        <w:tc>
          <w:tcPr>
            <w:tcW w:w="5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59"/>
        </w:trPr>
        <w:tc>
          <w:tcPr>
            <w:tcW w:w="2040" w:type="dxa"/>
            <w:vAlign w:val="bottom"/>
          </w:tcPr>
          <w:p>
            <w:pPr>
              <w:ind w:left="640"/>
              <w:spacing w:after="0"/>
              <w:rPr>
                <w:sz w:val="20"/>
                <w:szCs w:val="20"/>
                <w:color w:val="auto"/>
              </w:rPr>
            </w:pPr>
            <w:r>
              <w:rPr>
                <w:rFonts w:ascii="Arial" w:cs="Arial" w:eastAsia="Arial" w:hAnsi="Arial"/>
                <w:sz w:val="22"/>
                <w:szCs w:val="22"/>
                <w:color w:val="auto"/>
              </w:rPr>
              <w:t>Section 2.1.</w:t>
            </w:r>
          </w:p>
        </w:tc>
        <w:tc>
          <w:tcPr>
            <w:tcW w:w="8380" w:type="dxa"/>
            <w:vAlign w:val="bottom"/>
          </w:tcPr>
          <w:p>
            <w:pPr>
              <w:ind w:left="140"/>
              <w:spacing w:after="0"/>
              <w:rPr>
                <w:sz w:val="20"/>
                <w:szCs w:val="20"/>
                <w:color w:val="auto"/>
              </w:rPr>
            </w:pPr>
            <w:r>
              <w:rPr>
                <w:rFonts w:ascii="Arial" w:cs="Arial" w:eastAsia="Arial" w:hAnsi="Arial"/>
                <w:sz w:val="22"/>
                <w:szCs w:val="22"/>
                <w:color w:val="auto"/>
              </w:rPr>
              <w:t>Designation and Principal Amount</w:t>
            </w:r>
          </w:p>
        </w:tc>
        <w:tc>
          <w:tcPr>
            <w:tcW w:w="5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2.2.</w:t>
            </w:r>
          </w:p>
        </w:tc>
        <w:tc>
          <w:tcPr>
            <w:tcW w:w="8380" w:type="dxa"/>
            <w:vAlign w:val="bottom"/>
          </w:tcPr>
          <w:p>
            <w:pPr>
              <w:ind w:left="140"/>
              <w:spacing w:after="0"/>
              <w:rPr>
                <w:sz w:val="20"/>
                <w:szCs w:val="20"/>
                <w:color w:val="auto"/>
              </w:rPr>
            </w:pPr>
            <w:r>
              <w:rPr>
                <w:rFonts w:ascii="Arial" w:cs="Arial" w:eastAsia="Arial" w:hAnsi="Arial"/>
                <w:sz w:val="22"/>
                <w:szCs w:val="22"/>
                <w:color w:val="auto"/>
              </w:rPr>
              <w:t>Maturity</w:t>
            </w:r>
          </w:p>
        </w:tc>
        <w:tc>
          <w:tcPr>
            <w:tcW w:w="5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2.3.</w:t>
            </w:r>
          </w:p>
        </w:tc>
        <w:tc>
          <w:tcPr>
            <w:tcW w:w="8380" w:type="dxa"/>
            <w:vAlign w:val="bottom"/>
          </w:tcPr>
          <w:p>
            <w:pPr>
              <w:ind w:left="140"/>
              <w:spacing w:after="0"/>
              <w:rPr>
                <w:sz w:val="20"/>
                <w:szCs w:val="20"/>
                <w:color w:val="auto"/>
              </w:rPr>
            </w:pPr>
            <w:r>
              <w:rPr>
                <w:rFonts w:ascii="Arial" w:cs="Arial" w:eastAsia="Arial" w:hAnsi="Arial"/>
                <w:sz w:val="22"/>
                <w:szCs w:val="22"/>
                <w:color w:val="auto"/>
              </w:rPr>
              <w:t>Further Issues</w:t>
            </w:r>
          </w:p>
        </w:tc>
        <w:tc>
          <w:tcPr>
            <w:tcW w:w="5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2.4.</w:t>
            </w:r>
          </w:p>
        </w:tc>
        <w:tc>
          <w:tcPr>
            <w:tcW w:w="8380" w:type="dxa"/>
            <w:vAlign w:val="bottom"/>
          </w:tcPr>
          <w:p>
            <w:pPr>
              <w:ind w:left="140"/>
              <w:spacing w:after="0"/>
              <w:rPr>
                <w:sz w:val="20"/>
                <w:szCs w:val="20"/>
                <w:color w:val="auto"/>
              </w:rPr>
            </w:pPr>
            <w:r>
              <w:rPr>
                <w:rFonts w:ascii="Arial" w:cs="Arial" w:eastAsia="Arial" w:hAnsi="Arial"/>
                <w:sz w:val="22"/>
                <w:szCs w:val="22"/>
                <w:color w:val="auto"/>
              </w:rPr>
              <w:t>Payment</w:t>
            </w:r>
          </w:p>
        </w:tc>
        <w:tc>
          <w:tcPr>
            <w:tcW w:w="5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2.5.</w:t>
            </w:r>
          </w:p>
        </w:tc>
        <w:tc>
          <w:tcPr>
            <w:tcW w:w="8380" w:type="dxa"/>
            <w:vAlign w:val="bottom"/>
          </w:tcPr>
          <w:p>
            <w:pPr>
              <w:ind w:left="140"/>
              <w:spacing w:after="0"/>
              <w:rPr>
                <w:sz w:val="20"/>
                <w:szCs w:val="20"/>
                <w:color w:val="auto"/>
              </w:rPr>
            </w:pPr>
            <w:r>
              <w:rPr>
                <w:rFonts w:ascii="Arial" w:cs="Arial" w:eastAsia="Arial" w:hAnsi="Arial"/>
                <w:sz w:val="22"/>
                <w:szCs w:val="22"/>
                <w:color w:val="auto"/>
              </w:rPr>
              <w:t>Global Securities</w:t>
            </w:r>
          </w:p>
        </w:tc>
        <w:tc>
          <w:tcPr>
            <w:tcW w:w="5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2.6.</w:t>
            </w:r>
          </w:p>
        </w:tc>
        <w:tc>
          <w:tcPr>
            <w:tcW w:w="8380" w:type="dxa"/>
            <w:vAlign w:val="bottom"/>
          </w:tcPr>
          <w:p>
            <w:pPr>
              <w:ind w:left="140"/>
              <w:spacing w:after="0"/>
              <w:rPr>
                <w:sz w:val="20"/>
                <w:szCs w:val="20"/>
                <w:color w:val="auto"/>
              </w:rPr>
            </w:pPr>
            <w:r>
              <w:rPr>
                <w:rFonts w:ascii="Arial" w:cs="Arial" w:eastAsia="Arial" w:hAnsi="Arial"/>
                <w:sz w:val="22"/>
                <w:szCs w:val="22"/>
                <w:color w:val="auto"/>
              </w:rPr>
              <w:t>Interest</w:t>
            </w:r>
          </w:p>
        </w:tc>
        <w:tc>
          <w:tcPr>
            <w:tcW w:w="5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2.7.</w:t>
            </w:r>
          </w:p>
        </w:tc>
        <w:tc>
          <w:tcPr>
            <w:tcW w:w="8380" w:type="dxa"/>
            <w:vAlign w:val="bottom"/>
          </w:tcPr>
          <w:p>
            <w:pPr>
              <w:ind w:left="140"/>
              <w:spacing w:after="0"/>
              <w:rPr>
                <w:sz w:val="20"/>
                <w:szCs w:val="20"/>
                <w:color w:val="auto"/>
              </w:rPr>
            </w:pPr>
            <w:r>
              <w:rPr>
                <w:rFonts w:ascii="Arial" w:cs="Arial" w:eastAsia="Arial" w:hAnsi="Arial"/>
                <w:sz w:val="22"/>
                <w:szCs w:val="22"/>
                <w:color w:val="auto"/>
              </w:rPr>
              <w:t>Authorized Denominations</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2.8.</w:t>
            </w:r>
          </w:p>
        </w:tc>
        <w:tc>
          <w:tcPr>
            <w:tcW w:w="8380" w:type="dxa"/>
            <w:vAlign w:val="bottom"/>
          </w:tcPr>
          <w:p>
            <w:pPr>
              <w:ind w:left="140"/>
              <w:spacing w:after="0"/>
              <w:rPr>
                <w:sz w:val="20"/>
                <w:szCs w:val="20"/>
                <w:color w:val="auto"/>
              </w:rPr>
            </w:pPr>
            <w:r>
              <w:rPr>
                <w:rFonts w:ascii="Arial" w:cs="Arial" w:eastAsia="Arial" w:hAnsi="Arial"/>
                <w:sz w:val="22"/>
                <w:szCs w:val="22"/>
                <w:color w:val="auto"/>
              </w:rPr>
              <w:t>Redemption and Sinking Fund</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2.9.</w:t>
            </w:r>
          </w:p>
        </w:tc>
        <w:tc>
          <w:tcPr>
            <w:tcW w:w="8380" w:type="dxa"/>
            <w:vAlign w:val="bottom"/>
          </w:tcPr>
          <w:p>
            <w:pPr>
              <w:ind w:left="140"/>
              <w:spacing w:after="0"/>
              <w:rPr>
                <w:sz w:val="20"/>
                <w:szCs w:val="20"/>
                <w:color w:val="auto"/>
              </w:rPr>
            </w:pPr>
            <w:r>
              <w:rPr>
                <w:rFonts w:ascii="Arial" w:cs="Arial" w:eastAsia="Arial" w:hAnsi="Arial"/>
                <w:sz w:val="22"/>
                <w:szCs w:val="22"/>
                <w:color w:val="auto"/>
              </w:rPr>
              <w:t>Ranking</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2.10.</w:t>
            </w:r>
          </w:p>
        </w:tc>
        <w:tc>
          <w:tcPr>
            <w:tcW w:w="8380" w:type="dxa"/>
            <w:vAlign w:val="bottom"/>
          </w:tcPr>
          <w:p>
            <w:pPr>
              <w:ind w:left="140"/>
              <w:spacing w:after="0"/>
              <w:rPr>
                <w:sz w:val="20"/>
                <w:szCs w:val="20"/>
                <w:color w:val="auto"/>
              </w:rPr>
            </w:pPr>
            <w:r>
              <w:rPr>
                <w:rFonts w:ascii="Arial" w:cs="Arial" w:eastAsia="Arial" w:hAnsi="Arial"/>
                <w:sz w:val="22"/>
                <w:szCs w:val="22"/>
                <w:color w:val="auto"/>
              </w:rPr>
              <w:t>Appointments</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2.11.</w:t>
            </w:r>
          </w:p>
        </w:tc>
        <w:tc>
          <w:tcPr>
            <w:tcW w:w="8380" w:type="dxa"/>
            <w:vAlign w:val="bottom"/>
          </w:tcPr>
          <w:p>
            <w:pPr>
              <w:ind w:left="140"/>
              <w:spacing w:after="0"/>
              <w:rPr>
                <w:sz w:val="20"/>
                <w:szCs w:val="20"/>
                <w:color w:val="auto"/>
              </w:rPr>
            </w:pPr>
            <w:r>
              <w:rPr>
                <w:rFonts w:ascii="Arial" w:cs="Arial" w:eastAsia="Arial" w:hAnsi="Arial"/>
                <w:sz w:val="22"/>
                <w:szCs w:val="22"/>
                <w:color w:val="auto"/>
              </w:rPr>
              <w:t>Defeasance</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59"/>
        </w:trPr>
        <w:tc>
          <w:tcPr>
            <w:tcW w:w="10420" w:type="dxa"/>
            <w:vAlign w:val="bottom"/>
            <w:gridSpan w:val="2"/>
          </w:tcPr>
          <w:p>
            <w:pPr>
              <w:spacing w:after="0"/>
              <w:rPr>
                <w:sz w:val="20"/>
                <w:szCs w:val="20"/>
                <w:color w:val="auto"/>
              </w:rPr>
            </w:pPr>
            <w:r>
              <w:rPr>
                <w:rFonts w:ascii="Arial" w:cs="Arial" w:eastAsia="Arial" w:hAnsi="Arial"/>
                <w:sz w:val="22"/>
                <w:szCs w:val="22"/>
                <w:color w:val="auto"/>
              </w:rPr>
              <w:t>ARTICLE 3. FORM OF NOTES</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59"/>
        </w:trPr>
        <w:tc>
          <w:tcPr>
            <w:tcW w:w="2040" w:type="dxa"/>
            <w:vAlign w:val="bottom"/>
          </w:tcPr>
          <w:p>
            <w:pPr>
              <w:ind w:left="640"/>
              <w:spacing w:after="0"/>
              <w:rPr>
                <w:sz w:val="20"/>
                <w:szCs w:val="20"/>
                <w:color w:val="auto"/>
              </w:rPr>
            </w:pPr>
            <w:r>
              <w:rPr>
                <w:rFonts w:ascii="Arial" w:cs="Arial" w:eastAsia="Arial" w:hAnsi="Arial"/>
                <w:sz w:val="22"/>
                <w:szCs w:val="22"/>
                <w:color w:val="auto"/>
              </w:rPr>
              <w:t>Section 3.1.</w:t>
            </w:r>
          </w:p>
        </w:tc>
        <w:tc>
          <w:tcPr>
            <w:tcW w:w="8380" w:type="dxa"/>
            <w:vAlign w:val="bottom"/>
          </w:tcPr>
          <w:p>
            <w:pPr>
              <w:ind w:left="140"/>
              <w:spacing w:after="0"/>
              <w:rPr>
                <w:sz w:val="20"/>
                <w:szCs w:val="20"/>
                <w:color w:val="auto"/>
              </w:rPr>
            </w:pPr>
            <w:r>
              <w:rPr>
                <w:rFonts w:ascii="Arial" w:cs="Arial" w:eastAsia="Arial" w:hAnsi="Arial"/>
                <w:sz w:val="22"/>
                <w:szCs w:val="22"/>
                <w:color w:val="auto"/>
              </w:rPr>
              <w:t>Form of Notes</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59"/>
        </w:trPr>
        <w:tc>
          <w:tcPr>
            <w:tcW w:w="10420" w:type="dxa"/>
            <w:vAlign w:val="bottom"/>
            <w:gridSpan w:val="2"/>
          </w:tcPr>
          <w:p>
            <w:pPr>
              <w:spacing w:after="0"/>
              <w:rPr>
                <w:sz w:val="20"/>
                <w:szCs w:val="20"/>
                <w:color w:val="auto"/>
              </w:rPr>
            </w:pPr>
            <w:r>
              <w:rPr>
                <w:rFonts w:ascii="Arial" w:cs="Arial" w:eastAsia="Arial" w:hAnsi="Arial"/>
                <w:sz w:val="22"/>
                <w:szCs w:val="22"/>
                <w:color w:val="auto"/>
              </w:rPr>
              <w:t>ARTICLE 4. ORIGINAL ISSUE OF NOTES</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59"/>
        </w:trPr>
        <w:tc>
          <w:tcPr>
            <w:tcW w:w="2040" w:type="dxa"/>
            <w:vAlign w:val="bottom"/>
          </w:tcPr>
          <w:p>
            <w:pPr>
              <w:ind w:left="640"/>
              <w:spacing w:after="0"/>
              <w:rPr>
                <w:sz w:val="20"/>
                <w:szCs w:val="20"/>
                <w:color w:val="auto"/>
              </w:rPr>
            </w:pPr>
            <w:r>
              <w:rPr>
                <w:rFonts w:ascii="Arial" w:cs="Arial" w:eastAsia="Arial" w:hAnsi="Arial"/>
                <w:sz w:val="22"/>
                <w:szCs w:val="22"/>
                <w:color w:val="auto"/>
              </w:rPr>
              <w:t>Section 4.1.</w:t>
            </w:r>
          </w:p>
        </w:tc>
        <w:tc>
          <w:tcPr>
            <w:tcW w:w="8380" w:type="dxa"/>
            <w:vAlign w:val="bottom"/>
          </w:tcPr>
          <w:p>
            <w:pPr>
              <w:ind w:left="140"/>
              <w:spacing w:after="0"/>
              <w:rPr>
                <w:sz w:val="20"/>
                <w:szCs w:val="20"/>
                <w:color w:val="auto"/>
              </w:rPr>
            </w:pPr>
            <w:r>
              <w:rPr>
                <w:rFonts w:ascii="Arial" w:cs="Arial" w:eastAsia="Arial" w:hAnsi="Arial"/>
                <w:sz w:val="22"/>
                <w:szCs w:val="22"/>
                <w:color w:val="auto"/>
              </w:rPr>
              <w:t>Original Issue of Notes</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59"/>
        </w:trPr>
        <w:tc>
          <w:tcPr>
            <w:tcW w:w="10420" w:type="dxa"/>
            <w:vAlign w:val="bottom"/>
            <w:gridSpan w:val="2"/>
          </w:tcPr>
          <w:p>
            <w:pPr>
              <w:spacing w:after="0"/>
              <w:rPr>
                <w:sz w:val="20"/>
                <w:szCs w:val="20"/>
                <w:color w:val="auto"/>
              </w:rPr>
            </w:pPr>
            <w:r>
              <w:rPr>
                <w:rFonts w:ascii="Arial" w:cs="Arial" w:eastAsia="Arial" w:hAnsi="Arial"/>
                <w:sz w:val="22"/>
                <w:szCs w:val="22"/>
                <w:color w:val="auto"/>
              </w:rPr>
              <w:t>ARTICLE 5. MISCELLANEOUS</w:t>
            </w:r>
          </w:p>
        </w:tc>
        <w:tc>
          <w:tcPr>
            <w:tcW w:w="5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59"/>
        </w:trPr>
        <w:tc>
          <w:tcPr>
            <w:tcW w:w="2040" w:type="dxa"/>
            <w:vAlign w:val="bottom"/>
          </w:tcPr>
          <w:p>
            <w:pPr>
              <w:ind w:left="640"/>
              <w:spacing w:after="0"/>
              <w:rPr>
                <w:sz w:val="20"/>
                <w:szCs w:val="20"/>
                <w:color w:val="auto"/>
              </w:rPr>
            </w:pPr>
            <w:r>
              <w:rPr>
                <w:rFonts w:ascii="Arial" w:cs="Arial" w:eastAsia="Arial" w:hAnsi="Arial"/>
                <w:sz w:val="22"/>
                <w:szCs w:val="22"/>
                <w:color w:val="auto"/>
              </w:rPr>
              <w:t>Section 5.1.</w:t>
            </w:r>
          </w:p>
        </w:tc>
        <w:tc>
          <w:tcPr>
            <w:tcW w:w="8380" w:type="dxa"/>
            <w:vAlign w:val="bottom"/>
          </w:tcPr>
          <w:p>
            <w:pPr>
              <w:ind w:left="140"/>
              <w:spacing w:after="0"/>
              <w:rPr>
                <w:sz w:val="20"/>
                <w:szCs w:val="20"/>
                <w:color w:val="auto"/>
              </w:rPr>
            </w:pPr>
            <w:r>
              <w:rPr>
                <w:rFonts w:ascii="Arial" w:cs="Arial" w:eastAsia="Arial" w:hAnsi="Arial"/>
                <w:sz w:val="22"/>
                <w:szCs w:val="22"/>
                <w:color w:val="auto"/>
              </w:rPr>
              <w:t>Ratification of Indenture</w:t>
            </w:r>
          </w:p>
        </w:tc>
        <w:tc>
          <w:tcPr>
            <w:tcW w:w="5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5.2.</w:t>
            </w:r>
          </w:p>
        </w:tc>
        <w:tc>
          <w:tcPr>
            <w:tcW w:w="8380" w:type="dxa"/>
            <w:vAlign w:val="bottom"/>
          </w:tcPr>
          <w:p>
            <w:pPr>
              <w:ind w:left="140"/>
              <w:spacing w:after="0"/>
              <w:rPr>
                <w:sz w:val="20"/>
                <w:szCs w:val="20"/>
                <w:color w:val="auto"/>
              </w:rPr>
            </w:pPr>
            <w:r>
              <w:rPr>
                <w:rFonts w:ascii="Arial" w:cs="Arial" w:eastAsia="Arial" w:hAnsi="Arial"/>
                <w:sz w:val="22"/>
                <w:szCs w:val="22"/>
                <w:color w:val="auto"/>
              </w:rPr>
              <w:t>Trustee Not Responsible for Recitals</w:t>
            </w:r>
          </w:p>
        </w:tc>
        <w:tc>
          <w:tcPr>
            <w:tcW w:w="5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5.3.</w:t>
            </w:r>
          </w:p>
        </w:tc>
        <w:tc>
          <w:tcPr>
            <w:tcW w:w="8380" w:type="dxa"/>
            <w:vAlign w:val="bottom"/>
          </w:tcPr>
          <w:p>
            <w:pPr>
              <w:ind w:left="140"/>
              <w:spacing w:after="0"/>
              <w:rPr>
                <w:sz w:val="20"/>
                <w:szCs w:val="20"/>
                <w:color w:val="auto"/>
              </w:rPr>
            </w:pPr>
            <w:r>
              <w:rPr>
                <w:rFonts w:ascii="Arial" w:cs="Arial" w:eastAsia="Arial" w:hAnsi="Arial"/>
                <w:sz w:val="22"/>
                <w:szCs w:val="22"/>
                <w:color w:val="auto"/>
              </w:rPr>
              <w:t>Governing Law</w:t>
            </w:r>
          </w:p>
        </w:tc>
        <w:tc>
          <w:tcPr>
            <w:tcW w:w="5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5.4.</w:t>
            </w:r>
          </w:p>
        </w:tc>
        <w:tc>
          <w:tcPr>
            <w:tcW w:w="8380" w:type="dxa"/>
            <w:vAlign w:val="bottom"/>
          </w:tcPr>
          <w:p>
            <w:pPr>
              <w:ind w:left="140"/>
              <w:spacing w:after="0"/>
              <w:rPr>
                <w:sz w:val="20"/>
                <w:szCs w:val="20"/>
                <w:color w:val="auto"/>
              </w:rPr>
            </w:pPr>
            <w:r>
              <w:rPr>
                <w:rFonts w:ascii="Arial" w:cs="Arial" w:eastAsia="Arial" w:hAnsi="Arial"/>
                <w:sz w:val="22"/>
                <w:szCs w:val="22"/>
                <w:color w:val="auto"/>
              </w:rPr>
              <w:t>Separability</w:t>
            </w:r>
          </w:p>
        </w:tc>
        <w:tc>
          <w:tcPr>
            <w:tcW w:w="5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5.5.</w:t>
            </w:r>
          </w:p>
        </w:tc>
        <w:tc>
          <w:tcPr>
            <w:tcW w:w="8380" w:type="dxa"/>
            <w:vAlign w:val="bottom"/>
          </w:tcPr>
          <w:p>
            <w:pPr>
              <w:ind w:left="140"/>
              <w:spacing w:after="0"/>
              <w:rPr>
                <w:sz w:val="20"/>
                <w:szCs w:val="20"/>
                <w:color w:val="auto"/>
              </w:rPr>
            </w:pPr>
            <w:r>
              <w:rPr>
                <w:rFonts w:ascii="Arial" w:cs="Arial" w:eastAsia="Arial" w:hAnsi="Arial"/>
                <w:sz w:val="22"/>
                <w:szCs w:val="22"/>
                <w:color w:val="auto"/>
              </w:rPr>
              <w:t>Counterparts</w:t>
            </w:r>
          </w:p>
        </w:tc>
        <w:tc>
          <w:tcPr>
            <w:tcW w:w="5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2040" w:type="dxa"/>
            <w:vAlign w:val="bottom"/>
          </w:tcPr>
          <w:p>
            <w:pPr>
              <w:ind w:left="640"/>
              <w:spacing w:after="0"/>
              <w:rPr>
                <w:sz w:val="20"/>
                <w:szCs w:val="20"/>
                <w:color w:val="auto"/>
              </w:rPr>
            </w:pPr>
            <w:r>
              <w:rPr>
                <w:rFonts w:ascii="Arial" w:cs="Arial" w:eastAsia="Arial" w:hAnsi="Arial"/>
                <w:sz w:val="22"/>
                <w:szCs w:val="22"/>
                <w:color w:val="auto"/>
              </w:rPr>
              <w:t>Section 5.6.</w:t>
            </w:r>
          </w:p>
        </w:tc>
        <w:tc>
          <w:tcPr>
            <w:tcW w:w="8380" w:type="dxa"/>
            <w:vAlign w:val="bottom"/>
          </w:tcPr>
          <w:p>
            <w:pPr>
              <w:ind w:left="140"/>
              <w:spacing w:after="0"/>
              <w:rPr>
                <w:sz w:val="20"/>
                <w:szCs w:val="20"/>
                <w:color w:val="auto"/>
              </w:rPr>
            </w:pPr>
            <w:r>
              <w:rPr>
                <w:rFonts w:ascii="Arial" w:cs="Arial" w:eastAsia="Arial" w:hAnsi="Arial"/>
                <w:sz w:val="22"/>
                <w:szCs w:val="22"/>
                <w:color w:val="auto"/>
              </w:rPr>
              <w:t>Electronic Means</w:t>
            </w:r>
          </w:p>
        </w:tc>
        <w:tc>
          <w:tcPr>
            <w:tcW w:w="5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59"/>
        </w:trPr>
        <w:tc>
          <w:tcPr>
            <w:tcW w:w="10420" w:type="dxa"/>
            <w:vAlign w:val="bottom"/>
            <w:gridSpan w:val="2"/>
          </w:tcPr>
          <w:p>
            <w:pPr>
              <w:spacing w:after="0"/>
              <w:rPr>
                <w:sz w:val="20"/>
                <w:szCs w:val="20"/>
                <w:color w:val="auto"/>
              </w:rPr>
            </w:pPr>
            <w:r>
              <w:rPr>
                <w:rFonts w:ascii="Arial" w:cs="Arial" w:eastAsia="Arial" w:hAnsi="Arial"/>
                <w:sz w:val="22"/>
                <w:szCs w:val="22"/>
                <w:color w:val="auto"/>
              </w:rPr>
              <w:t>EXHIBIT A – Form of 2052 Notes</w:t>
            </w:r>
          </w:p>
        </w:tc>
        <w:tc>
          <w:tcPr>
            <w:tcW w:w="520" w:type="dxa"/>
            <w:vAlign w:val="bottom"/>
          </w:tcPr>
          <w:p>
            <w:pPr>
              <w:jc w:val="right"/>
              <w:spacing w:after="0"/>
              <w:rPr>
                <w:sz w:val="20"/>
                <w:szCs w:val="20"/>
                <w:color w:val="auto"/>
              </w:rPr>
            </w:pPr>
            <w:r>
              <w:rPr>
                <w:rFonts w:ascii="Arial" w:cs="Arial" w:eastAsia="Arial" w:hAnsi="Arial"/>
                <w:sz w:val="22"/>
                <w:szCs w:val="22"/>
                <w:color w:val="auto"/>
              </w:rPr>
              <w:t>A-1</w:t>
            </w:r>
          </w:p>
        </w:tc>
      </w:tr>
      <w:tr>
        <w:trPr>
          <w:trHeight w:val="459"/>
        </w:trPr>
        <w:tc>
          <w:tcPr>
            <w:tcW w:w="10420" w:type="dxa"/>
            <w:vAlign w:val="bottom"/>
            <w:gridSpan w:val="2"/>
          </w:tcPr>
          <w:p>
            <w:pPr>
              <w:spacing w:after="0"/>
              <w:rPr>
                <w:sz w:val="20"/>
                <w:szCs w:val="20"/>
                <w:color w:val="auto"/>
              </w:rPr>
            </w:pPr>
            <w:r>
              <w:rPr>
                <w:rFonts w:ascii="Arial" w:cs="Arial" w:eastAsia="Arial" w:hAnsi="Arial"/>
                <w:sz w:val="22"/>
                <w:szCs w:val="22"/>
                <w:color w:val="auto"/>
              </w:rPr>
              <w:t>EXHIBIT B – Form of 2062 Notes</w:t>
            </w:r>
          </w:p>
        </w:tc>
        <w:tc>
          <w:tcPr>
            <w:tcW w:w="520" w:type="dxa"/>
            <w:vAlign w:val="bottom"/>
          </w:tcPr>
          <w:p>
            <w:pPr>
              <w:jc w:val="right"/>
              <w:spacing w:after="0"/>
              <w:rPr>
                <w:sz w:val="20"/>
                <w:szCs w:val="20"/>
                <w:color w:val="auto"/>
              </w:rPr>
            </w:pPr>
            <w:r>
              <w:rPr>
                <w:rFonts w:ascii="Arial" w:cs="Arial" w:eastAsia="Arial" w:hAnsi="Arial"/>
                <w:sz w:val="22"/>
                <w:szCs w:val="22"/>
                <w:color w:val="auto"/>
              </w:rPr>
              <w:t>B-1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940"/>
          </w:cols>
          <w:pgMar w:left="440" w:top="256" w:right="519" w:bottom="1440" w:gutter="0" w:footer="0" w:header="0"/>
        </w:sectPr>
      </w:pPr>
    </w:p>
    <w:bookmarkStart w:id="6" w:name="page7"/>
    <w:bookmarkEnd w:id="6"/>
    <w:p>
      <w:pPr>
        <w:ind w:firstLine="1762"/>
        <w:spacing w:after="0" w:line="23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FOURTEENTH SUPPLEMENTAL INDENTURE, dated as of March 17, 2021 (this “ </w:t>
      </w:r>
      <w:r>
        <w:rPr>
          <w:rFonts w:ascii="Arial" w:cs="Arial" w:eastAsia="Arial" w:hAnsi="Arial"/>
          <w:sz w:val="22"/>
          <w:szCs w:val="22"/>
          <w:u w:val="single" w:color="auto"/>
          <w:color w:val="auto"/>
        </w:rPr>
        <w:t>Supplemental</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Indenture</w:t>
      </w:r>
      <w:r>
        <w:rPr>
          <w:rFonts w:ascii="Arial" w:cs="Arial" w:eastAsia="Arial" w:hAnsi="Arial"/>
          <w:sz w:val="22"/>
          <w:szCs w:val="22"/>
          <w:color w:val="auto"/>
        </w:rPr>
        <w:t xml:space="preserve"> ”), between MICROSOFT CORPORATION, a corporation duly organized and existing under the laws of the State of Washington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BANK OF NEW YORK MELLON TRUST COMPANY, N.A., a national banking association duly organized and existing under the laws of the United States,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 OF THE COMPANY</w:t>
      </w:r>
    </w:p>
    <w:p>
      <w:pPr>
        <w:spacing w:after="0" w:line="19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WHEREAS, the Company executed and delivered to The Bank of New York Mellon Trust</w:t>
      </w:r>
    </w:p>
    <w:p>
      <w:pPr>
        <w:spacing w:after="0" w:line="230" w:lineRule="auto"/>
        <w:rPr>
          <w:sz w:val="20"/>
          <w:szCs w:val="20"/>
          <w:color w:val="auto"/>
        </w:rPr>
      </w:pPr>
      <w:r>
        <w:rPr>
          <w:rFonts w:ascii="Arial" w:cs="Arial" w:eastAsia="Arial" w:hAnsi="Arial"/>
          <w:sz w:val="22"/>
          <w:szCs w:val="22"/>
          <w:color w:val="auto"/>
        </w:rPr>
        <w:t>Company, N.A., a national banking association, as trustee, the Indenture, dated as of May 18, 2009 (the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Indenture</w:t>
      </w:r>
      <w:r>
        <w:rPr>
          <w:rFonts w:ascii="Arial" w:cs="Arial" w:eastAsia="Arial" w:hAnsi="Arial"/>
          <w:sz w:val="21"/>
          <w:szCs w:val="21"/>
          <w:color w:val="auto"/>
        </w:rPr>
        <w:t>”), to provide for the issuance of the Company’s debt securities (the “</w:t>
      </w:r>
      <w:r>
        <w:rPr>
          <w:rFonts w:ascii="Arial" w:cs="Arial" w:eastAsia="Arial" w:hAnsi="Arial"/>
          <w:sz w:val="21"/>
          <w:szCs w:val="21"/>
          <w:u w:val="single" w:color="auto"/>
          <w:color w:val="auto"/>
        </w:rPr>
        <w:t>Securities</w:t>
      </w:r>
      <w:r>
        <w:rPr>
          <w:rFonts w:ascii="Arial" w:cs="Arial" w:eastAsia="Arial" w:hAnsi="Arial"/>
          <w:sz w:val="21"/>
          <w:szCs w:val="21"/>
          <w:color w:val="auto"/>
        </w:rPr>
        <w:t>”), to be issued in one or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more series, a First Supplemental Indenture, dated as of May 18, 2009, a Second Supplemental Indenture, dated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as of September 27, 2010, a Third Supplemental Indenture, dated as of February 9, 2011, a Fourth Supplemental</w:t>
      </w:r>
    </w:p>
    <w:p>
      <w:pPr>
        <w:spacing w:after="0" w:line="231" w:lineRule="auto"/>
        <w:rPr>
          <w:sz w:val="20"/>
          <w:szCs w:val="20"/>
          <w:color w:val="auto"/>
        </w:rPr>
      </w:pPr>
      <w:r>
        <w:rPr>
          <w:rFonts w:ascii="Arial" w:cs="Arial" w:eastAsia="Arial" w:hAnsi="Arial"/>
          <w:sz w:val="22"/>
          <w:szCs w:val="22"/>
          <w:color w:val="auto"/>
        </w:rPr>
        <w:t>Indenture, dated as of November 7, 2012, a Fifth Supplemental Indenture, dated as of May 2, 2013, a Sixth</w:t>
      </w:r>
    </w:p>
    <w:p>
      <w:pPr>
        <w:spacing w:after="0" w:line="231" w:lineRule="auto"/>
        <w:rPr>
          <w:sz w:val="20"/>
          <w:szCs w:val="20"/>
          <w:color w:val="auto"/>
        </w:rPr>
      </w:pPr>
      <w:r>
        <w:rPr>
          <w:rFonts w:ascii="Arial" w:cs="Arial" w:eastAsia="Arial" w:hAnsi="Arial"/>
          <w:sz w:val="22"/>
          <w:szCs w:val="22"/>
          <w:color w:val="auto"/>
        </w:rPr>
        <w:t>Supplemental Indenture, dated as of May 2, 2013, a Seventh Supplemental Indenture, dated as of December 6,</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2013, an Eighth Supplemental Indenture, dated as of December 6, 2013, a Ninth Supplemental Indenture, dated as</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of February 12, 2015, a Tenth Supplemental Indenture, dated as of November 3, 2015, an Eleventh Supplemental</w:t>
      </w:r>
    </w:p>
    <w:p>
      <w:pPr>
        <w:spacing w:after="0" w:line="231" w:lineRule="auto"/>
        <w:rPr>
          <w:sz w:val="20"/>
          <w:szCs w:val="20"/>
          <w:color w:val="auto"/>
        </w:rPr>
      </w:pPr>
      <w:r>
        <w:rPr>
          <w:rFonts w:ascii="Arial" w:cs="Arial" w:eastAsia="Arial" w:hAnsi="Arial"/>
          <w:sz w:val="22"/>
          <w:szCs w:val="22"/>
          <w:color w:val="auto"/>
        </w:rPr>
        <w:t>Indenture, dated as of August 8, 2016, a Twelfth Supplemental Indenture, dated as of February 6, 2017 and 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Thirteenth Supplemental Indenture, dated as of June 1, 2020;</w:t>
      </w:r>
    </w:p>
    <w:p>
      <w:pPr>
        <w:spacing w:after="0" w:line="19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WHEREAS, pursuant to the terms of the Indenture, the Company desires to provide for the</w:t>
      </w:r>
    </w:p>
    <w:p>
      <w:pPr>
        <w:spacing w:after="0"/>
        <w:rPr>
          <w:sz w:val="20"/>
          <w:szCs w:val="20"/>
          <w:color w:val="auto"/>
        </w:rPr>
      </w:pPr>
      <w:r>
        <w:rPr>
          <w:rFonts w:ascii="Arial" w:cs="Arial" w:eastAsia="Arial" w:hAnsi="Arial"/>
          <w:sz w:val="21"/>
          <w:szCs w:val="21"/>
          <w:color w:val="auto"/>
        </w:rPr>
        <w:t>establishment of two new series of its Securities under the Indenture to be known as its “2.921% Notes due 2052”</w:t>
      </w:r>
    </w:p>
    <w:p>
      <w:pPr>
        <w:spacing w:after="0" w:line="231"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2052 Notes</w:t>
      </w:r>
      <w:r>
        <w:rPr>
          <w:rFonts w:ascii="Arial" w:cs="Arial" w:eastAsia="Arial" w:hAnsi="Arial"/>
          <w:sz w:val="22"/>
          <w:szCs w:val="22"/>
          <w:color w:val="auto"/>
        </w:rPr>
        <w:t>”) and “3.041% Notes due 2062” (the “</w:t>
      </w:r>
      <w:r>
        <w:rPr>
          <w:rFonts w:ascii="Arial" w:cs="Arial" w:eastAsia="Arial" w:hAnsi="Arial"/>
          <w:sz w:val="22"/>
          <w:szCs w:val="22"/>
          <w:u w:val="single" w:color="auto"/>
          <w:color w:val="auto"/>
        </w:rPr>
        <w:t>2062 Notes</w:t>
      </w:r>
      <w:r>
        <w:rPr>
          <w:rFonts w:ascii="Arial" w:cs="Arial" w:eastAsia="Arial" w:hAnsi="Arial"/>
          <w:sz w:val="22"/>
          <w:szCs w:val="22"/>
          <w:color w:val="auto"/>
        </w:rPr>
        <w:t>” and, together with the 2052 Notes, the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Notes</w:t>
      </w:r>
      <w:r>
        <w:rPr>
          <w:rFonts w:ascii="Arial" w:cs="Arial" w:eastAsia="Arial" w:hAnsi="Arial"/>
          <w:sz w:val="21"/>
          <w:szCs w:val="21"/>
          <w:color w:val="auto"/>
        </w:rPr>
        <w:t>”), the form and substance and the terms, provisions and conditions thereof to be set forth as provided in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Indenture and this Supplemental Indenture;</w:t>
      </w:r>
    </w:p>
    <w:p>
      <w:pPr>
        <w:spacing w:after="0" w:line="206" w:lineRule="exact"/>
        <w:rPr>
          <w:sz w:val="20"/>
          <w:szCs w:val="20"/>
          <w:color w:val="auto"/>
        </w:rPr>
      </w:pPr>
    </w:p>
    <w:p>
      <w:pPr>
        <w:ind w:right="180" w:firstLine="1762"/>
        <w:spacing w:after="0" w:line="234" w:lineRule="auto"/>
        <w:rPr>
          <w:sz w:val="20"/>
          <w:szCs w:val="20"/>
          <w:color w:val="auto"/>
        </w:rPr>
      </w:pPr>
      <w:r>
        <w:rPr>
          <w:rFonts w:ascii="Arial" w:cs="Arial" w:eastAsia="Arial" w:hAnsi="Arial"/>
          <w:sz w:val="22"/>
          <w:szCs w:val="22"/>
          <w:color w:val="auto"/>
        </w:rPr>
        <w:t>WHEREAS, the Board of Directors of the Company by duly adopted resolutions has authorized the proper officers of the Company to, among other things, determine the terms of the Securities to be issued under the Indenture and execute any and all appropriate documents necessary or appropriate to effect each such issuance;</w:t>
      </w:r>
    </w:p>
    <w:p>
      <w:pPr>
        <w:spacing w:after="0" w:line="201" w:lineRule="exact"/>
        <w:rPr>
          <w:sz w:val="20"/>
          <w:szCs w:val="20"/>
          <w:color w:val="auto"/>
        </w:rPr>
      </w:pPr>
    </w:p>
    <w:p>
      <w:pPr>
        <w:ind w:right="560" w:firstLine="1762"/>
        <w:spacing w:after="0" w:line="238" w:lineRule="auto"/>
        <w:rPr>
          <w:sz w:val="20"/>
          <w:szCs w:val="20"/>
          <w:color w:val="auto"/>
        </w:rPr>
      </w:pPr>
      <w:r>
        <w:rPr>
          <w:rFonts w:ascii="Arial" w:cs="Arial" w:eastAsia="Arial" w:hAnsi="Arial"/>
          <w:sz w:val="22"/>
          <w:szCs w:val="22"/>
          <w:color w:val="auto"/>
        </w:rPr>
        <w:t>WHEREAS, this Supplemental Indenture is being entered into pursuant to the provisions of Section 901 of the Indenture;</w:t>
      </w:r>
    </w:p>
    <w:p>
      <w:pPr>
        <w:spacing w:after="0" w:line="200"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WHEREAS, the Company has requested that the Trustee execute and deliver this Supplemental</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Indenture; and</w:t>
      </w:r>
    </w:p>
    <w:p>
      <w:pPr>
        <w:spacing w:after="0" w:line="206" w:lineRule="exact"/>
        <w:rPr>
          <w:sz w:val="20"/>
          <w:szCs w:val="20"/>
          <w:color w:val="auto"/>
        </w:rPr>
      </w:pPr>
    </w:p>
    <w:p>
      <w:pPr>
        <w:ind w:right="40" w:firstLine="1762"/>
        <w:spacing w:after="0" w:line="234" w:lineRule="auto"/>
        <w:rPr>
          <w:sz w:val="20"/>
          <w:szCs w:val="20"/>
          <w:color w:val="auto"/>
        </w:rPr>
      </w:pPr>
      <w:r>
        <w:rPr>
          <w:rFonts w:ascii="Arial" w:cs="Arial" w:eastAsia="Arial" w:hAnsi="Arial"/>
          <w:sz w:val="22"/>
          <w:szCs w:val="22"/>
          <w:color w:val="auto"/>
        </w:rPr>
        <w:t>WHEREAS, all things necessary to make this Supplemental Indenture a valid agreement of the Company, in accordance with its terms, and to make the Notes, when executed by the Company and authenticated and delivered by the Trustee, the valid obligations of the Company, have been performed, and the execution and delivery of this Supplemental Indenture has been duly authorized in all respects.</w:t>
      </w:r>
    </w:p>
    <w:p>
      <w:pPr>
        <w:sectPr>
          <w:pgSz w:w="11900" w:h="16838" w:orient="portrait"/>
          <w:cols w:equalWidth="0" w:num="1">
            <w:col w:w="11000"/>
          </w:cols>
          <w:pgMar w:left="440" w:top="282" w:right="459" w:bottom="1440" w:gutter="0" w:footer="0" w:header="0"/>
        </w:sectPr>
      </w:pPr>
    </w:p>
    <w:bookmarkStart w:id="7" w:name="page8"/>
    <w:bookmarkEnd w:id="7"/>
    <w:p>
      <w:pPr>
        <w:ind w:left="17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THIS SUPPLEMENTAL INDENTURE WITNESSETH:</w:t>
      </w:r>
    </w:p>
    <w:p>
      <w:pPr>
        <w:spacing w:after="0" w:line="247" w:lineRule="exact"/>
        <w:rPr>
          <w:sz w:val="20"/>
          <w:szCs w:val="20"/>
          <w:color w:val="auto"/>
        </w:rPr>
      </w:pPr>
    </w:p>
    <w:p>
      <w:pPr>
        <w:jc w:val="both"/>
        <w:ind w:right="80" w:firstLine="1762"/>
        <w:spacing w:after="0" w:line="235" w:lineRule="auto"/>
        <w:rPr>
          <w:sz w:val="20"/>
          <w:szCs w:val="20"/>
          <w:color w:val="auto"/>
        </w:rPr>
      </w:pPr>
      <w:r>
        <w:rPr>
          <w:rFonts w:ascii="Arial" w:cs="Arial" w:eastAsia="Arial" w:hAnsi="Arial"/>
          <w:sz w:val="22"/>
          <w:szCs w:val="22"/>
          <w:color w:val="auto"/>
        </w:rPr>
        <w:t>For and in consideration of the premises and the purchase of the Notes by the Holders thereof, and for the purpose of setting forth, as provided in the Indenture, the forms and terms of the Notes, the Company covenants and agrees, with the Trustee, as follows:</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w:t>
      </w:r>
    </w:p>
    <w:p>
      <w:pPr>
        <w:spacing w:after="0" w:line="247"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DEFINITIONS</w:t>
      </w:r>
    </w:p>
    <w:p>
      <w:pPr>
        <w:spacing w:after="0" w:line="273" w:lineRule="exact"/>
        <w:rPr>
          <w:sz w:val="20"/>
          <w:szCs w:val="20"/>
          <w:color w:val="auto"/>
        </w:rPr>
      </w:pPr>
    </w:p>
    <w:p>
      <w:pPr>
        <w:ind w:left="1760"/>
        <w:spacing w:after="0"/>
        <w:tabs>
          <w:tab w:leader="none" w:pos="31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1"/>
          <w:szCs w:val="21"/>
          <w:u w:val="single" w:color="auto"/>
          <w:color w:val="auto"/>
        </w:rPr>
        <w:t>Definition of Terms</w:t>
      </w:r>
      <w:r>
        <w:rPr>
          <w:rFonts w:ascii="Arial" w:cs="Arial" w:eastAsia="Arial" w:hAnsi="Arial"/>
          <w:sz w:val="21"/>
          <w:szCs w:val="21"/>
          <w:color w:val="auto"/>
        </w:rPr>
        <w:t>.</w:t>
      </w:r>
    </w:p>
    <w:p>
      <w:pPr>
        <w:spacing w:after="0" w:line="206" w:lineRule="exact"/>
        <w:rPr>
          <w:sz w:val="20"/>
          <w:szCs w:val="20"/>
          <w:color w:val="auto"/>
        </w:rPr>
      </w:pPr>
    </w:p>
    <w:p>
      <w:pPr>
        <w:ind w:right="180" w:firstLine="1758"/>
        <w:spacing w:after="0" w:line="234" w:lineRule="auto"/>
        <w:tabs>
          <w:tab w:leader="none" w:pos="2387"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Means</w:t>
      </w:r>
      <w:r>
        <w:rPr>
          <w:rFonts w:ascii="Arial" w:cs="Arial" w:eastAsia="Arial" w:hAnsi="Arial"/>
          <w:sz w:val="22"/>
          <w:szCs w:val="22"/>
          <w:color w:val="auto"/>
        </w:rPr>
        <w:t>”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228" w:lineRule="exact"/>
        <w:rPr>
          <w:rFonts w:ascii="Arial" w:cs="Arial" w:eastAsia="Arial" w:hAnsi="Arial"/>
          <w:sz w:val="22"/>
          <w:szCs w:val="22"/>
          <w:color w:val="auto"/>
        </w:rPr>
      </w:pPr>
    </w:p>
    <w:p>
      <w:pPr>
        <w:ind w:left="2380" w:hanging="622"/>
        <w:spacing w:after="0"/>
        <w:tabs>
          <w:tab w:leader="none" w:pos="2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Unless the context otherwise requires:</w:t>
      </w:r>
    </w:p>
    <w:p>
      <w:pPr>
        <w:spacing w:after="0" w:line="246" w:lineRule="exact"/>
        <w:rPr>
          <w:rFonts w:ascii="Arial" w:cs="Arial" w:eastAsia="Arial" w:hAnsi="Arial"/>
          <w:sz w:val="22"/>
          <w:szCs w:val="22"/>
          <w:color w:val="auto"/>
        </w:rPr>
      </w:pPr>
    </w:p>
    <w:p>
      <w:pPr>
        <w:ind w:left="880" w:right="720" w:firstLine="1416"/>
        <w:spacing w:after="0" w:line="238" w:lineRule="auto"/>
        <w:tabs>
          <w:tab w:leader="none" w:pos="2911" w:val="left"/>
        </w:tabs>
        <w:numPr>
          <w:ilvl w:val="1"/>
          <w:numId w:val="3"/>
        </w:numPr>
        <w:rPr>
          <w:rFonts w:ascii="Arial" w:cs="Arial" w:eastAsia="Arial" w:hAnsi="Arial"/>
          <w:sz w:val="22"/>
          <w:szCs w:val="22"/>
          <w:color w:val="auto"/>
        </w:rPr>
      </w:pPr>
      <w:r>
        <w:rPr>
          <w:rFonts w:ascii="Arial" w:cs="Arial" w:eastAsia="Arial" w:hAnsi="Arial"/>
          <w:sz w:val="22"/>
          <w:szCs w:val="22"/>
          <w:color w:val="auto"/>
        </w:rPr>
        <w:t>each term defined in the Indenture has the same meaning when used in this Supplemental Indenture;</w:t>
      </w:r>
    </w:p>
    <w:p>
      <w:pPr>
        <w:spacing w:after="0" w:line="218" w:lineRule="exact"/>
        <w:rPr>
          <w:rFonts w:ascii="Arial" w:cs="Arial" w:eastAsia="Arial" w:hAnsi="Arial"/>
          <w:sz w:val="22"/>
          <w:szCs w:val="22"/>
          <w:color w:val="auto"/>
        </w:rPr>
      </w:pPr>
    </w:p>
    <w:p>
      <w:pPr>
        <w:ind w:left="2960" w:hanging="664"/>
        <w:spacing w:after="0"/>
        <w:tabs>
          <w:tab w:leader="none" w:pos="2960" w:val="left"/>
        </w:tabs>
        <w:numPr>
          <w:ilvl w:val="1"/>
          <w:numId w:val="3"/>
        </w:numPr>
        <w:rPr>
          <w:rFonts w:ascii="Arial" w:cs="Arial" w:eastAsia="Arial" w:hAnsi="Arial"/>
          <w:sz w:val="22"/>
          <w:szCs w:val="22"/>
          <w:color w:val="auto"/>
        </w:rPr>
      </w:pPr>
      <w:r>
        <w:rPr>
          <w:rFonts w:ascii="Arial" w:cs="Arial" w:eastAsia="Arial" w:hAnsi="Arial"/>
          <w:sz w:val="22"/>
          <w:szCs w:val="22"/>
          <w:color w:val="auto"/>
        </w:rPr>
        <w:t xml:space="preserve">the singular includes the plural, and </w:t>
      </w:r>
      <w:r>
        <w:rPr>
          <w:rFonts w:ascii="Arial" w:cs="Arial" w:eastAsia="Arial" w:hAnsi="Arial"/>
          <w:sz w:val="22"/>
          <w:szCs w:val="22"/>
          <w:i w:val="1"/>
          <w:iCs w:val="1"/>
          <w:color w:val="auto"/>
        </w:rPr>
        <w:t>vice versa</w:t>
      </w:r>
      <w:r>
        <w:rPr>
          <w:rFonts w:ascii="Arial" w:cs="Arial" w:eastAsia="Arial" w:hAnsi="Arial"/>
          <w:sz w:val="22"/>
          <w:szCs w:val="22"/>
          <w:color w:val="auto"/>
        </w:rPr>
        <w:t>;</w:t>
      </w:r>
    </w:p>
    <w:p>
      <w:pPr>
        <w:spacing w:after="0" w:line="255" w:lineRule="exact"/>
        <w:rPr>
          <w:rFonts w:ascii="Arial" w:cs="Arial" w:eastAsia="Arial" w:hAnsi="Arial"/>
          <w:sz w:val="22"/>
          <w:szCs w:val="22"/>
          <w:color w:val="auto"/>
        </w:rPr>
      </w:pPr>
    </w:p>
    <w:p>
      <w:pPr>
        <w:ind w:left="2940" w:hanging="644"/>
        <w:spacing w:after="0"/>
        <w:tabs>
          <w:tab w:leader="none" w:pos="2940" w:val="left"/>
        </w:tabs>
        <w:numPr>
          <w:ilvl w:val="1"/>
          <w:numId w:val="3"/>
        </w:numPr>
        <w:rPr>
          <w:rFonts w:ascii="Arial" w:cs="Arial" w:eastAsia="Arial" w:hAnsi="Arial"/>
          <w:sz w:val="22"/>
          <w:szCs w:val="22"/>
          <w:color w:val="auto"/>
        </w:rPr>
      </w:pPr>
      <w:r>
        <w:rPr>
          <w:rFonts w:ascii="Arial" w:cs="Arial" w:eastAsia="Arial" w:hAnsi="Arial"/>
          <w:sz w:val="22"/>
          <w:szCs w:val="22"/>
          <w:color w:val="auto"/>
        </w:rPr>
        <w:t>headings are for convenience of reference only and do not affect interpretation.</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2.</w:t>
      </w:r>
    </w:p>
    <w:p>
      <w:pPr>
        <w:spacing w:after="0" w:line="247" w:lineRule="exact"/>
        <w:rPr>
          <w:sz w:val="20"/>
          <w:szCs w:val="20"/>
          <w:color w:val="auto"/>
        </w:rPr>
      </w:pPr>
    </w:p>
    <w:p>
      <w:pPr>
        <w:ind w:left="1760" w:right="3460" w:firstLine="1814"/>
        <w:spacing w:after="0" w:line="479" w:lineRule="auto"/>
        <w:rPr>
          <w:sz w:val="20"/>
          <w:szCs w:val="20"/>
          <w:color w:val="auto"/>
        </w:rPr>
      </w:pPr>
      <w:r>
        <w:rPr>
          <w:rFonts w:ascii="Arial" w:cs="Arial" w:eastAsia="Arial" w:hAnsi="Arial"/>
          <w:sz w:val="22"/>
          <w:szCs w:val="22"/>
          <w:b w:val="1"/>
          <w:bCs w:val="1"/>
          <w:color w:val="auto"/>
        </w:rPr>
        <w:t xml:space="preserve">TERMS AND CONDITIONS OF NOTES </w:t>
      </w: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Designation and Principal Amount</w:t>
      </w:r>
      <w:r>
        <w:rPr>
          <w:rFonts w:ascii="Arial" w:cs="Arial" w:eastAsia="Arial" w:hAnsi="Arial"/>
          <w:sz w:val="22"/>
          <w:szCs w:val="22"/>
          <w:color w:val="auto"/>
        </w:rPr>
        <w:t>.</w:t>
      </w:r>
    </w:p>
    <w:p>
      <w:pPr>
        <w:spacing w:after="0" w:line="2" w:lineRule="exact"/>
        <w:rPr>
          <w:sz w:val="20"/>
          <w:szCs w:val="20"/>
          <w:color w:val="auto"/>
        </w:rPr>
      </w:pPr>
    </w:p>
    <w:p>
      <w:pPr>
        <w:ind w:firstLine="1758"/>
        <w:spacing w:after="0" w:line="241" w:lineRule="auto"/>
        <w:tabs>
          <w:tab w:leader="none" w:pos="2503"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There is hereby authorized and established a series of Securities under the Indenture, designated as the “2.921% Notes due 2052,” which is initially limited in aggregate principal amount to $6,250,000,000 (except upon registration of transfer of, or in exchange for, or in lieu of, other 2052 Notes pursuant to Section 304, 305, 306, 906 or 1107 of the Indenture and except for any Securities which, pursuant to</w:t>
      </w:r>
    </w:p>
    <w:p>
      <w:pPr>
        <w:spacing w:after="0" w:line="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Section 303 of the Indenture, are deemed never to have been authenticated and delivered).</w:t>
      </w:r>
    </w:p>
    <w:p>
      <w:pPr>
        <w:spacing w:after="0" w:line="246" w:lineRule="exact"/>
        <w:rPr>
          <w:rFonts w:ascii="Arial" w:cs="Arial" w:eastAsia="Arial" w:hAnsi="Arial"/>
          <w:sz w:val="21"/>
          <w:szCs w:val="21"/>
          <w:color w:val="auto"/>
        </w:rPr>
      </w:pPr>
    </w:p>
    <w:p>
      <w:pPr>
        <w:ind w:firstLine="1758"/>
        <w:spacing w:after="0" w:line="241" w:lineRule="auto"/>
        <w:tabs>
          <w:tab w:leader="none" w:pos="2503"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There is hereby authorized and established a series of Securities under the Indenture, designated as the “3.041% Notes due 2062,” which is initially limited in aggregate principal amount to $1,934,966,000 (except upon registration of transfer of, or in exchange for, or in lieu of, other 2062 Notes pursuant to Section 304, 305, 306, 906 or 1107 of the Indenture and except for any Securities which, pursuant to</w:t>
      </w:r>
    </w:p>
    <w:p>
      <w:pPr>
        <w:spacing w:after="0" w:line="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Section 303 of the Indenture, are deemed never to have been authenticated and delivered).</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00"/>
          </w:cols>
          <w:pgMar w:left="440" w:top="282" w:right="559" w:bottom="1440" w:gutter="0" w:footer="0" w:header="0"/>
        </w:sectPr>
      </w:pPr>
    </w:p>
    <w:bookmarkStart w:id="8" w:name="page9"/>
    <w:bookmarkEnd w:id="8"/>
    <w:p>
      <w:pPr>
        <w:ind w:left="2600" w:hanging="842"/>
        <w:spacing w:after="0"/>
        <w:tabs>
          <w:tab w:leader="none" w:pos="2600" w:val="left"/>
        </w:tabs>
        <w:numPr>
          <w:ilvl w:val="0"/>
          <w:numId w:val="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Notes may be authenticated by the Trustee by manual, facsimile or electronic</w:t>
      </w: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left="1760"/>
        <w:spacing w:after="0"/>
        <w:tabs>
          <w:tab w:leader="none" w:pos="312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21"/>
          <w:szCs w:val="21"/>
          <w:u w:val="single" w:color="auto"/>
          <w:color w:val="auto"/>
        </w:rPr>
        <w:t>Maturity</w:t>
      </w:r>
      <w:r>
        <w:rPr>
          <w:rFonts w:ascii="Arial" w:cs="Arial" w:eastAsia="Arial" w:hAnsi="Arial"/>
          <w:sz w:val="21"/>
          <w:szCs w:val="21"/>
          <w:color w:val="auto"/>
        </w:rPr>
        <w:t>.</w:t>
      </w:r>
    </w:p>
    <w:p>
      <w:pPr>
        <w:spacing w:after="0" w:line="206" w:lineRule="exact"/>
        <w:rPr>
          <w:sz w:val="20"/>
          <w:szCs w:val="20"/>
          <w:color w:val="auto"/>
        </w:rPr>
      </w:pPr>
    </w:p>
    <w:p>
      <w:pPr>
        <w:ind w:left="2620" w:hanging="862"/>
        <w:spacing w:after="0"/>
        <w:tabs>
          <w:tab w:leader="none" w:pos="2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Stated Maturity of principal of the 2052 Notes shall be March 17, 2052.</w:t>
      </w:r>
    </w:p>
    <w:p>
      <w:pPr>
        <w:spacing w:after="0" w:line="206" w:lineRule="exact"/>
        <w:rPr>
          <w:rFonts w:ascii="Arial" w:cs="Arial" w:eastAsia="Arial" w:hAnsi="Arial"/>
          <w:sz w:val="22"/>
          <w:szCs w:val="22"/>
          <w:color w:val="auto"/>
        </w:rPr>
      </w:pPr>
    </w:p>
    <w:p>
      <w:pPr>
        <w:ind w:left="2620" w:hanging="862"/>
        <w:spacing w:after="0"/>
        <w:tabs>
          <w:tab w:leader="none" w:pos="2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Stated Maturity of principal of the 2062 Notes shall be March 17, 2062.</w:t>
      </w:r>
    </w:p>
    <w:p>
      <w:pPr>
        <w:spacing w:after="0" w:line="206" w:lineRule="exact"/>
        <w:rPr>
          <w:sz w:val="20"/>
          <w:szCs w:val="20"/>
          <w:color w:val="auto"/>
        </w:rPr>
      </w:pPr>
    </w:p>
    <w:p>
      <w:pPr>
        <w:ind w:right="100" w:firstLine="1762"/>
        <w:spacing w:after="0" w:line="233"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Further Issues</w:t>
      </w:r>
      <w:r>
        <w:rPr>
          <w:rFonts w:ascii="Arial" w:cs="Arial" w:eastAsia="Arial" w:hAnsi="Arial"/>
          <w:sz w:val="22"/>
          <w:szCs w:val="22"/>
          <w:color w:val="auto"/>
        </w:rPr>
        <w:t xml:space="preserve">. The Company may at any time and from time to time, without the consent of the Holders of any series of the Notes, issue additional notes of any series;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additional notes are fungible for U.S. federal income tax purposes with the relevant series of Notes. Any such additional notes shall have the same ranking, interest rate, maturity date and other terms as the relevant series of Notes. Any such additional notes of a series, together with the Notes of the relevant series herein provided for, shall constitute a single series of Securities under the Indenture.</w:t>
      </w:r>
    </w:p>
    <w:p>
      <w:pPr>
        <w:spacing w:after="0" w:line="200" w:lineRule="exact"/>
        <w:rPr>
          <w:sz w:val="20"/>
          <w:szCs w:val="20"/>
          <w:color w:val="auto"/>
        </w:rPr>
      </w:pPr>
    </w:p>
    <w:p>
      <w:pPr>
        <w:ind w:firstLine="1762"/>
        <w:spacing w:after="0" w:line="231"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Payment</w:t>
      </w:r>
      <w:r>
        <w:rPr>
          <w:rFonts w:ascii="Arial" w:cs="Arial" w:eastAsia="Arial" w:hAnsi="Arial"/>
          <w:sz w:val="22"/>
          <w:szCs w:val="22"/>
          <w:color w:val="auto"/>
        </w:rPr>
        <w:t xml:space="preserve">. Principal of (and the applicable redemption price, if any) and interest on the Notes shall be payable in U.S. dollars in immediately available funds at the office or agency of the Company maintained for such purpose, which shall initially be at an office of the Trustee located at 400 South Hope Street, Suite 500, Los Angeles, California 90071, Attention: Corporate Trust Administration – Microsoft Corporation;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at the option of the Company, the Company may pay interest by check mailed to the Holder entitled thereto at such Holder’s address as it appears on the Security Register at the close of business on the Regular Record Date for such Holder or by wire transfer to an account appropriately designated by the Holder to the Company and the Trustee;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Company will pay principal of and interest on, the Notes in global form registered in the name of or held by The Depository Trust Company (“</w:t>
      </w:r>
      <w:r>
        <w:rPr>
          <w:rFonts w:ascii="Arial" w:cs="Arial" w:eastAsia="Arial" w:hAnsi="Arial"/>
          <w:sz w:val="22"/>
          <w:szCs w:val="22"/>
          <w:u w:val="single" w:color="auto"/>
          <w:color w:val="auto"/>
        </w:rPr>
        <w:t>DTC</w:t>
      </w:r>
      <w:r>
        <w:rPr>
          <w:rFonts w:ascii="Arial" w:cs="Arial" w:eastAsia="Arial" w:hAnsi="Arial"/>
          <w:sz w:val="22"/>
          <w:szCs w:val="22"/>
          <w:color w:val="auto"/>
        </w:rPr>
        <w:t>”) or such other Depositary as any Officer of the Company may from time to time designate, or its respective nominee, by wire in immediately available funds to such Depositary or its nominee, as the case may be, as the registered holder of such Notes in global form.</w:t>
      </w:r>
    </w:p>
    <w:p>
      <w:pPr>
        <w:spacing w:after="0" w:line="210" w:lineRule="exact"/>
        <w:rPr>
          <w:sz w:val="20"/>
          <w:szCs w:val="20"/>
          <w:color w:val="auto"/>
        </w:rPr>
      </w:pPr>
    </w:p>
    <w:p>
      <w:pPr>
        <w:ind w:firstLine="1762"/>
        <w:spacing w:after="0" w:line="235"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Global Securities</w:t>
      </w:r>
      <w:r>
        <w:rPr>
          <w:rFonts w:ascii="Arial" w:cs="Arial" w:eastAsia="Arial" w:hAnsi="Arial"/>
          <w:sz w:val="22"/>
          <w:szCs w:val="22"/>
          <w:color w:val="auto"/>
        </w:rPr>
        <w:t>. Upon the original issuance, the Notes will be represented by Global Securities registered in the name of Cede &amp; Co., the nominee of DTC. The Company will deposit the Global Securities with DTC or its custodian and register the Global Securities in the name of Cede &amp; Co.</w:t>
      </w:r>
    </w:p>
    <w:p>
      <w:pPr>
        <w:spacing w:after="0" w:line="202" w:lineRule="exact"/>
        <w:rPr>
          <w:sz w:val="20"/>
          <w:szCs w:val="20"/>
          <w:color w:val="auto"/>
        </w:rPr>
      </w:pPr>
    </w:p>
    <w:p>
      <w:pPr>
        <w:ind w:left="1760"/>
        <w:spacing w:after="0"/>
        <w:tabs>
          <w:tab w:leader="none" w:pos="318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21"/>
          <w:szCs w:val="21"/>
          <w:u w:val="single" w:color="auto"/>
          <w:color w:val="auto"/>
        </w:rPr>
        <w:t>Interest</w:t>
      </w:r>
      <w:r>
        <w:rPr>
          <w:rFonts w:ascii="Arial" w:cs="Arial" w:eastAsia="Arial" w:hAnsi="Arial"/>
          <w:sz w:val="21"/>
          <w:szCs w:val="21"/>
          <w:color w:val="auto"/>
        </w:rPr>
        <w:t>.</w:t>
      </w:r>
    </w:p>
    <w:p>
      <w:pPr>
        <w:spacing w:after="0" w:line="206" w:lineRule="exact"/>
        <w:rPr>
          <w:sz w:val="20"/>
          <w:szCs w:val="20"/>
          <w:color w:val="auto"/>
        </w:rPr>
      </w:pPr>
    </w:p>
    <w:p>
      <w:pPr>
        <w:ind w:right="20" w:firstLine="1758"/>
        <w:spacing w:after="0" w:line="244" w:lineRule="auto"/>
        <w:tabs>
          <w:tab w:leader="none" w:pos="2623"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2052 Notes will bear interest (computed on the basis of a 360-day year consisting of twelve 30-day months) from March 17, 2021 at the rate of 2.921% per annum, payable semi-annually in arrears. Interest payable on each Interest Payment Date will include interest accrued from March 17, 2021, or from the most recent Interest Payment Date to which interest has been paid or duly provided for. The Interest Payment Dates on which such interest shall be payable are March 17 and September 17, commencing on September 17, 2021; and the Regular Record Date for the interest payable on any Interest Payment Date is the close of business on the March 2 or the September 2, as the case may be, next preceding the relevant Interest Payment Date.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40"/>
          </w:cols>
          <w:pgMar w:left="440" w:top="272" w:right="519" w:bottom="1440" w:gutter="0" w:footer="0" w:header="0"/>
        </w:sectPr>
      </w:pPr>
    </w:p>
    <w:bookmarkStart w:id="9" w:name="page10"/>
    <w:bookmarkEnd w:id="9"/>
    <w:p>
      <w:pPr>
        <w:ind w:firstLine="1758"/>
        <w:spacing w:after="0" w:line="244" w:lineRule="auto"/>
        <w:tabs>
          <w:tab w:leader="none" w:pos="2503" w:val="left"/>
        </w:tabs>
        <w:numPr>
          <w:ilvl w:val="0"/>
          <w:numId w:val="8"/>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2062 Notes will bear interest (computed on the basis of a 360-day year consisting of twelve 30-day months) from March 17, 2021 at the rate of 3.041% per annum, payable semi-annually in arrears. Interest payable on each Interest Payment Date will include interest accrued from March 17, 2021, or from the most recent Interest Payment Date to which interest has been paid or duly provided for. The Interest Payment Dates on which such interest shall be payable are March 17 and September 17, commencing on September 17, 2021; and the Regular Record Date for the interest payable on any Interest Payment Date is the close of business on the March 2 or the September 2, as the case may be, next preceding the relevant Interest Payment Date.</w:t>
      </w:r>
    </w:p>
    <w:p>
      <w:pPr>
        <w:spacing w:after="0" w:line="198" w:lineRule="exact"/>
        <w:rPr>
          <w:sz w:val="20"/>
          <w:szCs w:val="20"/>
          <w:color w:val="auto"/>
        </w:rPr>
      </w:pPr>
    </w:p>
    <w:p>
      <w:pPr>
        <w:ind w:right="580" w:firstLine="1762"/>
        <w:spacing w:after="0" w:line="238" w:lineRule="auto"/>
        <w:rPr>
          <w:sz w:val="20"/>
          <w:szCs w:val="20"/>
          <w:color w:val="auto"/>
        </w:rPr>
      </w:pPr>
      <w:r>
        <w:rPr>
          <w:rFonts w:ascii="Arial" w:cs="Arial" w:eastAsia="Arial" w:hAnsi="Arial"/>
          <w:sz w:val="22"/>
          <w:szCs w:val="22"/>
          <w:color w:val="auto"/>
        </w:rPr>
        <w:t xml:space="preserve">Section 2.7. </w:t>
      </w:r>
      <w:r>
        <w:rPr>
          <w:rFonts w:ascii="Arial" w:cs="Arial" w:eastAsia="Arial" w:hAnsi="Arial"/>
          <w:sz w:val="22"/>
          <w:szCs w:val="22"/>
          <w:u w:val="single" w:color="auto"/>
          <w:color w:val="auto"/>
        </w:rPr>
        <w:t>Authorized Denominations</w:t>
      </w:r>
      <w:r>
        <w:rPr>
          <w:rFonts w:ascii="Arial" w:cs="Arial" w:eastAsia="Arial" w:hAnsi="Arial"/>
          <w:sz w:val="22"/>
          <w:szCs w:val="22"/>
          <w:color w:val="auto"/>
        </w:rPr>
        <w:t>. The Notes shall be issuable in denominations of $2,000 and integral multiples of $1,000 in excess thereof.</w:t>
      </w:r>
    </w:p>
    <w:p>
      <w:pPr>
        <w:spacing w:after="0" w:line="200" w:lineRule="exact"/>
        <w:rPr>
          <w:sz w:val="20"/>
          <w:szCs w:val="20"/>
          <w:color w:val="auto"/>
        </w:rPr>
      </w:pPr>
    </w:p>
    <w:p>
      <w:pPr>
        <w:ind w:right="60" w:firstLine="1762"/>
        <w:spacing w:after="0" w:line="234" w:lineRule="auto"/>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u w:val="single" w:color="auto"/>
          <w:color w:val="auto"/>
        </w:rPr>
        <w:t>Redemption and Sinking Fund</w:t>
      </w:r>
      <w:r>
        <w:rPr>
          <w:rFonts w:ascii="Arial" w:cs="Arial" w:eastAsia="Arial" w:hAnsi="Arial"/>
          <w:sz w:val="22"/>
          <w:szCs w:val="22"/>
          <w:color w:val="auto"/>
        </w:rPr>
        <w:t>. The Notes shall not be redeemable at the option of the Company or at the option of the Holders except as set forth in the Notes. The Notes shall not be entitled to the benefit of any sinking fund. If less than all of the Notes are to be redeemed, the Notes to be redeemed shall be selected by the applicable Depositary pursuant to the applicable Depositary procedures.</w:t>
      </w:r>
    </w:p>
    <w:p>
      <w:pPr>
        <w:spacing w:after="0" w:line="201" w:lineRule="exact"/>
        <w:rPr>
          <w:sz w:val="20"/>
          <w:szCs w:val="20"/>
          <w:color w:val="auto"/>
        </w:rPr>
      </w:pPr>
    </w:p>
    <w:p>
      <w:pPr>
        <w:ind w:right="300" w:firstLine="1762"/>
        <w:spacing w:after="0" w:line="238" w:lineRule="auto"/>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u w:val="single" w:color="auto"/>
          <w:color w:val="auto"/>
        </w:rPr>
        <w:t>Ranking</w:t>
      </w:r>
      <w:r>
        <w:rPr>
          <w:rFonts w:ascii="Arial" w:cs="Arial" w:eastAsia="Arial" w:hAnsi="Arial"/>
          <w:sz w:val="22"/>
          <w:szCs w:val="22"/>
          <w:color w:val="auto"/>
        </w:rPr>
        <w:t>. The Notes shall be senior unsecured debt securities of the Company, ranking equally with the Company’s other unsecured and unsubordinated debt.</w:t>
      </w:r>
    </w:p>
    <w:p>
      <w:pPr>
        <w:spacing w:after="0" w:line="200" w:lineRule="exact"/>
        <w:rPr>
          <w:sz w:val="20"/>
          <w:szCs w:val="20"/>
          <w:color w:val="auto"/>
        </w:rPr>
      </w:pPr>
    </w:p>
    <w:p>
      <w:pPr>
        <w:ind w:right="60" w:firstLine="1762"/>
        <w:spacing w:after="0" w:line="238"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Appointments</w:t>
      </w:r>
      <w:r>
        <w:rPr>
          <w:rFonts w:ascii="Arial" w:cs="Arial" w:eastAsia="Arial" w:hAnsi="Arial"/>
          <w:sz w:val="22"/>
          <w:szCs w:val="22"/>
          <w:color w:val="auto"/>
        </w:rPr>
        <w:t>. The Trustee will be the Trustee, the initial Security Registrar and the initial Paying Agent for the Notes under the Indenture, as supplemented by this Supplemental Indenture.</w:t>
      </w:r>
    </w:p>
    <w:p>
      <w:pPr>
        <w:spacing w:after="0" w:line="200" w:lineRule="exact"/>
        <w:rPr>
          <w:sz w:val="20"/>
          <w:szCs w:val="20"/>
          <w:color w:val="auto"/>
        </w:rPr>
      </w:pPr>
    </w:p>
    <w:p>
      <w:pPr>
        <w:ind w:right="260" w:firstLine="1762"/>
        <w:spacing w:after="0" w:line="235"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Defeasance</w:t>
      </w:r>
      <w:r>
        <w:rPr>
          <w:rFonts w:ascii="Arial" w:cs="Arial" w:eastAsia="Arial" w:hAnsi="Arial"/>
          <w:sz w:val="22"/>
          <w:szCs w:val="22"/>
          <w:color w:val="auto"/>
        </w:rPr>
        <w:t>. The Company may elect, at its option at any time, pursuant to Section 1301 of the Indenture, to have Section 1302 or Section 1303 of the Indenture, or both, apply to the 2052 Notes or the 2062 Notes, or all, or any principal amount thereof.</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3.</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OF NOTES</w:t>
      </w:r>
    </w:p>
    <w:p>
      <w:pPr>
        <w:spacing w:after="0" w:line="232" w:lineRule="exact"/>
        <w:rPr>
          <w:sz w:val="20"/>
          <w:szCs w:val="20"/>
          <w:color w:val="auto"/>
        </w:rPr>
      </w:pPr>
    </w:p>
    <w:p>
      <w:pPr>
        <w:ind w:right="380" w:firstLine="1762"/>
        <w:spacing w:after="0" w:line="238"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Form of Notes</w:t>
      </w:r>
      <w:r>
        <w:rPr>
          <w:rFonts w:ascii="Arial" w:cs="Arial" w:eastAsia="Arial" w:hAnsi="Arial"/>
          <w:sz w:val="22"/>
          <w:szCs w:val="22"/>
          <w:color w:val="auto"/>
        </w:rPr>
        <w:t>. The Notes and the Trustee’s Certificate of Authentication to be endorsed thereon are to be substantially in the forms set forth in Exhibits A and B hereto.</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4.</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ORIGINAL ISSUE OF NOTES</w:t>
      </w:r>
    </w:p>
    <w:p>
      <w:pPr>
        <w:spacing w:after="0" w:line="232" w:lineRule="exact"/>
        <w:rPr>
          <w:sz w:val="20"/>
          <w:szCs w:val="20"/>
          <w:color w:val="auto"/>
        </w:rPr>
      </w:pPr>
    </w:p>
    <w:p>
      <w:pPr>
        <w:jc w:val="both"/>
        <w:ind w:right="460" w:firstLine="1762"/>
        <w:spacing w:after="0" w:line="235"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Original Issue of Notes</w:t>
      </w:r>
      <w:r>
        <w:rPr>
          <w:rFonts w:ascii="Arial" w:cs="Arial" w:eastAsia="Arial" w:hAnsi="Arial"/>
          <w:sz w:val="22"/>
          <w:szCs w:val="22"/>
          <w:color w:val="auto"/>
        </w:rPr>
        <w:t>. The Notes may, upon execution of this Supplemental Indenture, be executed by the Company and delivered to the Trustee for authentication, and the Trustee shall, upon Company Order, authenticate and deliver such Notes as in such Company Order provided.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60"/>
          </w:cols>
          <w:pgMar w:left="440" w:top="282" w:right="4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5.</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MISCELLANEOUS</w:t>
      </w:r>
    </w:p>
    <w:p>
      <w:pPr>
        <w:spacing w:after="0" w:line="232" w:lineRule="exact"/>
        <w:rPr>
          <w:sz w:val="20"/>
          <w:szCs w:val="20"/>
          <w:color w:val="auto"/>
        </w:rPr>
      </w:pPr>
    </w:p>
    <w:p>
      <w:pPr>
        <w:ind w:right="140" w:firstLine="1762"/>
        <w:spacing w:after="0" w:line="247" w:lineRule="auto"/>
        <w:rPr>
          <w:sz w:val="20"/>
          <w:szCs w:val="20"/>
          <w:color w:val="auto"/>
        </w:rPr>
      </w:pPr>
      <w:r>
        <w:rPr>
          <w:rFonts w:ascii="Arial" w:cs="Arial" w:eastAsia="Arial" w:hAnsi="Arial"/>
          <w:sz w:val="21"/>
          <w:szCs w:val="21"/>
          <w:color w:val="auto"/>
        </w:rPr>
        <w:t xml:space="preserve">Section 5.1. </w:t>
      </w:r>
      <w:r>
        <w:rPr>
          <w:rFonts w:ascii="Arial" w:cs="Arial" w:eastAsia="Arial" w:hAnsi="Arial"/>
          <w:sz w:val="21"/>
          <w:szCs w:val="21"/>
          <w:u w:val="single" w:color="auto"/>
          <w:color w:val="auto"/>
        </w:rPr>
        <w:t>Ratification of Indenture</w:t>
      </w:r>
      <w:r>
        <w:rPr>
          <w:rFonts w:ascii="Arial" w:cs="Arial" w:eastAsia="Arial" w:hAnsi="Arial"/>
          <w:sz w:val="21"/>
          <w:szCs w:val="21"/>
          <w:color w:val="auto"/>
        </w:rPr>
        <w:t xml:space="preserve">. The Indenture, as supplemented by this Supplemental Indenture, is in all respects ratified, confirmed and binding upon the parties hereto, and this Supplemental Indenture shall be deemed part of the Indenture in the manner and to the extent herein and therein provided;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provisions of this Supplemental Indenture shall apply solely with respect to the Notes.</w:t>
      </w:r>
    </w:p>
    <w:p>
      <w:pPr>
        <w:spacing w:after="0" w:line="194" w:lineRule="exact"/>
        <w:rPr>
          <w:sz w:val="20"/>
          <w:szCs w:val="20"/>
          <w:color w:val="auto"/>
        </w:rPr>
      </w:pPr>
    </w:p>
    <w:p>
      <w:pPr>
        <w:jc w:val="both"/>
        <w:ind w:right="160" w:firstLine="1762"/>
        <w:spacing w:after="0" w:line="235"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Trustee Not Responsible for Recitals</w:t>
      </w:r>
      <w:r>
        <w:rPr>
          <w:rFonts w:ascii="Arial" w:cs="Arial" w:eastAsia="Arial" w:hAnsi="Arial"/>
          <w:sz w:val="22"/>
          <w:szCs w:val="22"/>
          <w:color w:val="auto"/>
        </w:rPr>
        <w:t>. The recitals herein contained are made by the Company and not by the Trustee, and the Trustee assumes no responsibility for the correctness thereof. The Trustee makes no representation as to the validity or sufficiency of this Supplemental Indenture.</w:t>
      </w:r>
    </w:p>
    <w:p>
      <w:pPr>
        <w:spacing w:after="0" w:line="202" w:lineRule="exact"/>
        <w:rPr>
          <w:sz w:val="20"/>
          <w:szCs w:val="20"/>
          <w:color w:val="auto"/>
        </w:rPr>
      </w:pPr>
    </w:p>
    <w:p>
      <w:pPr>
        <w:ind w:right="260" w:firstLine="1762"/>
        <w:spacing w:after="0" w:line="238"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Supplemental Indenture and each Note shall be governed by, and construed in accordance with, the laws of the State of New York.</w:t>
      </w:r>
    </w:p>
    <w:p>
      <w:pPr>
        <w:spacing w:after="0" w:line="200" w:lineRule="exact"/>
        <w:rPr>
          <w:sz w:val="20"/>
          <w:szCs w:val="20"/>
          <w:color w:val="auto"/>
        </w:rPr>
      </w:pPr>
    </w:p>
    <w:p>
      <w:pPr>
        <w:ind w:firstLine="1762"/>
        <w:spacing w:after="0" w:line="233"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Separability</w:t>
      </w:r>
      <w:r>
        <w:rPr>
          <w:rFonts w:ascii="Arial" w:cs="Arial" w:eastAsia="Arial" w:hAnsi="Arial"/>
          <w:sz w:val="22"/>
          <w:szCs w:val="22"/>
          <w:color w:val="auto"/>
        </w:rPr>
        <w:t>. In case any one or more of the provisions contained in the Indenture, this Supplemental Indenture or the Notes shall for any reason be held to be invalid, illegal or unenforceable in any respect, such invalidity, illegality or unenforceability shall not affect any other provisions of the Indenture, this Supplemental Indenture or the Notes, but the Indenture, this Supplemental Indenture and the Notes shall be construed as if such invalid or illegal or unenforceable provision had never been contained herein or therein.</w:t>
      </w:r>
    </w:p>
    <w:p>
      <w:pPr>
        <w:spacing w:after="0" w:line="203" w:lineRule="exact"/>
        <w:rPr>
          <w:sz w:val="20"/>
          <w:szCs w:val="20"/>
          <w:color w:val="auto"/>
        </w:rPr>
      </w:pPr>
    </w:p>
    <w:p>
      <w:pPr>
        <w:jc w:val="both"/>
        <w:ind w:right="320" w:firstLine="1762"/>
        <w:spacing w:after="0" w:line="235"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Counterparts</w:t>
      </w:r>
      <w:r>
        <w:rPr>
          <w:rFonts w:ascii="Arial" w:cs="Arial" w:eastAsia="Arial" w:hAnsi="Arial"/>
          <w:sz w:val="22"/>
          <w:szCs w:val="22"/>
          <w:color w:val="auto"/>
        </w:rPr>
        <w:t>. This Supplemental Indenture may be executed in any number of counterparts each of which shall be an original; but such counterparts shall together constitute but one and the same instrument.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960"/>
          </w:cols>
          <w:pgMar w:left="440" w:top="256" w:right="499" w:bottom="1440" w:gutter="0" w:footer="0" w:header="0"/>
        </w:sectPr>
      </w:pPr>
    </w:p>
    <w:bookmarkStart w:id="11" w:name="page12"/>
    <w:bookmarkEnd w:id="11"/>
    <w:p>
      <w:pPr>
        <w:ind w:firstLine="1762"/>
        <w:spacing w:after="0" w:line="24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5.6. </w:t>
      </w:r>
      <w:r>
        <w:rPr>
          <w:rFonts w:ascii="Arial" w:cs="Arial" w:eastAsia="Arial" w:hAnsi="Arial"/>
          <w:sz w:val="21"/>
          <w:szCs w:val="21"/>
          <w:u w:val="single" w:color="auto"/>
          <w:color w:val="auto"/>
        </w:rPr>
        <w:t>Electronic Means</w:t>
      </w:r>
      <w:r>
        <w:rPr>
          <w:rFonts w:ascii="Arial" w:cs="Arial" w:eastAsia="Arial" w:hAnsi="Arial"/>
          <w:sz w:val="21"/>
          <w:szCs w:val="21"/>
          <w:color w:val="auto"/>
        </w:rPr>
        <w:t>. The Trustee shall have the right to accept and act upon instructions, including funds transfer instructions (“</w:t>
      </w:r>
      <w:r>
        <w:rPr>
          <w:rFonts w:ascii="Arial" w:cs="Arial" w:eastAsia="Arial" w:hAnsi="Arial"/>
          <w:sz w:val="21"/>
          <w:szCs w:val="21"/>
          <w:u w:val="single" w:color="auto"/>
          <w:color w:val="auto"/>
        </w:rPr>
        <w:t>Instructions</w:t>
      </w:r>
      <w:r>
        <w:rPr>
          <w:rFonts w:ascii="Arial" w:cs="Arial" w:eastAsia="Arial" w:hAnsi="Arial"/>
          <w:sz w:val="21"/>
          <w:szCs w:val="21"/>
          <w:color w:val="auto"/>
        </w:rPr>
        <w:t>”) given pursuant to this Supplemental Indenture and the Notes and delivered using Electronic Means; provided, however, that the Company shall provide to the Trustee an incumbency certificate listing officers with the authority to provide such Instructions (“</w:t>
      </w:r>
      <w:r>
        <w:rPr>
          <w:rFonts w:ascii="Arial" w:cs="Arial" w:eastAsia="Arial" w:hAnsi="Arial"/>
          <w:sz w:val="21"/>
          <w:szCs w:val="21"/>
          <w:u w:val="single" w:color="auto"/>
          <w:color w:val="auto"/>
        </w:rPr>
        <w:t>Authorized Officers</w:t>
      </w:r>
      <w:r>
        <w:rPr>
          <w:rFonts w:ascii="Arial" w:cs="Arial" w:eastAsia="Arial" w:hAnsi="Arial"/>
          <w:sz w:val="21"/>
          <w:szCs w:val="21"/>
          <w:color w:val="auto"/>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00"/>
          </w:cols>
          <w:pgMar w:left="440" w:top="282" w:right="459" w:bottom="1440" w:gutter="0" w:footer="0" w:header="0"/>
        </w:sectPr>
      </w:pPr>
    </w:p>
    <w:bookmarkStart w:id="12" w:name="page13"/>
    <w:bookmarkEnd w:id="12"/>
    <w:p>
      <w:pPr>
        <w:ind w:firstLine="1762"/>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Supplemental Indenture to be duly executed, all as of the day and year first above written.</w:t>
      </w:r>
    </w:p>
    <w:p>
      <w:pPr>
        <w:spacing w:after="0" w:line="227"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MICROSOFT CORPORATION</w:t>
      </w:r>
    </w:p>
    <w:p>
      <w:pPr>
        <w:spacing w:after="0" w:line="200" w:lineRule="exact"/>
        <w:rPr>
          <w:sz w:val="20"/>
          <w:szCs w:val="20"/>
          <w:color w:val="auto"/>
        </w:rPr>
      </w:pPr>
    </w:p>
    <w:p>
      <w:pPr>
        <w:spacing w:after="0" w:line="222"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By: /s/ Tahreem Kampton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-1270</wp:posOffset>
            </wp:positionV>
            <wp:extent cx="25374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22"/>
          <w:szCs w:val="22"/>
          <w:color w:val="auto"/>
        </w:rPr>
        <w:t>Name:  Tahreem Kampton</w:t>
      </w:r>
    </w:p>
    <w:p>
      <w:pPr>
        <w:ind w:left="7080"/>
        <w:spacing w:after="0"/>
        <w:tabs>
          <w:tab w:leader="none" w:pos="7840" w:val="left"/>
        </w:tabs>
        <w:rPr>
          <w:sz w:val="20"/>
          <w:szCs w:val="20"/>
          <w:color w:val="auto"/>
        </w:rPr>
      </w:pPr>
      <w:r>
        <w:rPr>
          <w:rFonts w:ascii="Arial" w:cs="Arial" w:eastAsia="Arial" w:hAnsi="Arial"/>
          <w:sz w:val="22"/>
          <w:szCs w:val="22"/>
          <w:color w:val="auto"/>
        </w:rPr>
        <w:t>Title:</w:t>
        <w:tab/>
        <w:t>Treasurer</w:t>
      </w:r>
    </w:p>
    <w:p>
      <w:pPr>
        <w:spacing w:after="0" w:line="200" w:lineRule="exact"/>
        <w:rPr>
          <w:sz w:val="20"/>
          <w:szCs w:val="20"/>
          <w:color w:val="auto"/>
        </w:rPr>
      </w:pPr>
    </w:p>
    <w:p>
      <w:pPr>
        <w:spacing w:after="0" w:line="212"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THE BANK OF NEW YORK MELLON</w:t>
      </w:r>
    </w:p>
    <w:p>
      <w:pPr>
        <w:ind w:left="6620"/>
        <w:spacing w:after="0"/>
        <w:rPr>
          <w:sz w:val="20"/>
          <w:szCs w:val="20"/>
          <w:color w:val="auto"/>
        </w:rPr>
      </w:pPr>
      <w:r>
        <w:rPr>
          <w:rFonts w:ascii="Arial" w:cs="Arial" w:eastAsia="Arial" w:hAnsi="Arial"/>
          <w:sz w:val="22"/>
          <w:szCs w:val="22"/>
          <w:color w:val="auto"/>
        </w:rPr>
        <w:t>TRUST COMPANY, N.A.,</w:t>
      </w:r>
    </w:p>
    <w:p>
      <w:pPr>
        <w:spacing w:after="0" w:line="4"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22"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By: /s/ Julie Hoffman-Ramos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-1270</wp:posOffset>
            </wp:positionV>
            <wp:extent cx="25374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22"/>
          <w:szCs w:val="22"/>
          <w:color w:val="auto"/>
        </w:rPr>
        <w:t>Name:  Julie Hoffman-Ramos</w:t>
      </w:r>
    </w:p>
    <w:p>
      <w:pPr>
        <w:ind w:left="7080"/>
        <w:spacing w:after="0"/>
        <w:tabs>
          <w:tab w:leader="none" w:pos="7840" w:val="left"/>
        </w:tabs>
        <w:rPr>
          <w:sz w:val="20"/>
          <w:szCs w:val="20"/>
          <w:color w:val="auto"/>
        </w:rPr>
      </w:pPr>
      <w:r>
        <w:rPr>
          <w:rFonts w:ascii="Arial" w:cs="Arial" w:eastAsia="Arial" w:hAnsi="Arial"/>
          <w:sz w:val="22"/>
          <w:szCs w:val="22"/>
          <w:color w:val="auto"/>
        </w:rPr>
        <w:t>Title:</w:t>
        <w:tab/>
        <w:t>Vice President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Fourteenth Supplemental Indenture]</w:t>
      </w:r>
    </w:p>
    <w:p>
      <w:pPr>
        <w:sectPr>
          <w:pgSz w:w="11900" w:h="16838" w:orient="portrait"/>
          <w:cols w:equalWidth="0" w:num="1">
            <w:col w:w="11000"/>
          </w:cols>
          <w:pgMar w:left="440" w:top="282" w:right="45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2.921% NOTE DUE 2052</w:t>
      </w:r>
    </w:p>
    <w:p>
      <w:pPr>
        <w:spacing w:after="0" w:line="206" w:lineRule="exact"/>
        <w:rPr>
          <w:sz w:val="20"/>
          <w:szCs w:val="20"/>
          <w:color w:val="auto"/>
        </w:rPr>
      </w:pPr>
    </w:p>
    <w:p>
      <w:pPr>
        <w:jc w:val="both"/>
        <w:ind w:right="20" w:firstLine="881"/>
        <w:spacing w:after="0" w:line="235" w:lineRule="auto"/>
        <w:rPr>
          <w:sz w:val="20"/>
          <w:szCs w:val="20"/>
          <w:color w:val="auto"/>
        </w:rPr>
      </w:pPr>
      <w:r>
        <w:rPr>
          <w:rFonts w:ascii="Arial" w:cs="Arial" w:eastAsia="Arial" w:hAnsi="Arial"/>
          <w:sz w:val="22"/>
          <w:szCs w:val="22"/>
          <w:b w:val="1"/>
          <w:bCs w:val="1"/>
          <w:color w:val="auto"/>
        </w:rPr>
        <w:t>UNLESS THIS CERTIFICATE IS PRESENTED BY AN AUTHORIZED REPRESENTATIVE OF THE DEPOSITORY TRUST COMPANY, A NEW YORK CORPORATION (“</w:t>
      </w:r>
      <w:r>
        <w:rPr>
          <w:rFonts w:ascii="Arial" w:cs="Arial" w:eastAsia="Arial" w:hAnsi="Arial"/>
          <w:sz w:val="22"/>
          <w:szCs w:val="22"/>
          <w:b w:val="1"/>
          <w:bCs w:val="1"/>
          <w:u w:val="single" w:color="auto"/>
          <w:color w:val="auto"/>
        </w:rPr>
        <w:t>DTC</w:t>
      </w:r>
      <w:r>
        <w:rPr>
          <w:rFonts w:ascii="Arial" w:cs="Arial" w:eastAsia="Arial" w:hAnsi="Arial"/>
          <w:sz w:val="22"/>
          <w:szCs w:val="22"/>
          <w:b w:val="1"/>
          <w:bCs w:val="1"/>
          <w:color w:val="auto"/>
        </w:rPr>
        <w:t>”), NEW YORK, NEW YORK,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both"/>
        <w:ind w:firstLine="881"/>
        <w:spacing w:after="0" w:line="238" w:lineRule="auto"/>
        <w:rPr>
          <w:sz w:val="20"/>
          <w:szCs w:val="20"/>
          <w:color w:val="auto"/>
        </w:rPr>
      </w:pPr>
      <w:r>
        <w:rPr>
          <w:rFonts w:ascii="Arial" w:cs="Arial" w:eastAsia="Arial" w:hAnsi="Arial"/>
          <w:sz w:val="22"/>
          <w:szCs w:val="22"/>
          <w:b w:val="1"/>
          <w:bCs w:val="1"/>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77" w:lineRule="exact"/>
        <w:rPr>
          <w:sz w:val="20"/>
          <w:szCs w:val="20"/>
          <w:color w:val="auto"/>
        </w:rPr>
      </w:pPr>
    </w:p>
    <w:p>
      <w:pPr>
        <w:jc w:val="both"/>
        <w:ind w:firstLine="881"/>
        <w:spacing w:after="0" w:line="237" w:lineRule="auto"/>
        <w:rPr>
          <w:sz w:val="20"/>
          <w:szCs w:val="20"/>
          <w:color w:val="auto"/>
        </w:rPr>
      </w:pPr>
      <w:r>
        <w:rPr>
          <w:rFonts w:ascii="Arial" w:cs="Arial" w:eastAsia="Arial" w:hAnsi="Arial"/>
          <w:sz w:val="22"/>
          <w:szCs w:val="22"/>
          <w:b w:val="1"/>
          <w:bCs w:val="1"/>
          <w:color w:val="auto"/>
        </w:rPr>
        <w:t>THIS NOTE IS A GLOBAL SECURITY WITHIN THE MEANING OF THE INDENTURE REFERRED TO HEREIN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ectPr>
          <w:pgSz w:w="11900" w:h="16838" w:orient="portrait"/>
          <w:cols w:equalWidth="0" w:num="1">
            <w:col w:w="11020"/>
          </w:cols>
          <w:pgMar w:left="440" w:top="256" w:right="4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MICROSOFT CORPORATION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2.921% Notes due 2052</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CUSIP No.: 594918 CE2</w:t>
      </w:r>
    </w:p>
    <w:p>
      <w:pPr>
        <w:spacing w:after="0"/>
        <w:rPr>
          <w:sz w:val="20"/>
          <w:szCs w:val="20"/>
          <w:color w:val="auto"/>
        </w:rPr>
      </w:pPr>
      <w:r>
        <w:rPr>
          <w:rFonts w:ascii="Arial" w:cs="Arial" w:eastAsia="Arial" w:hAnsi="Arial"/>
          <w:sz w:val="22"/>
          <w:szCs w:val="22"/>
          <w:color w:val="auto"/>
        </w:rPr>
        <w:t>ISIN: US594918CE21</w:t>
      </w:r>
    </w:p>
    <w:p>
      <w:pPr>
        <w:spacing w:after="0" w:line="218" w:lineRule="exact"/>
        <w:rPr>
          <w:sz w:val="20"/>
          <w:szCs w:val="20"/>
          <w:color w:val="auto"/>
        </w:rPr>
      </w:pPr>
    </w:p>
    <w:p>
      <w:pPr>
        <w:spacing w:after="0"/>
        <w:tabs>
          <w:tab w:leader="none" w:pos="10560" w:val="left"/>
        </w:tabs>
        <w:rPr>
          <w:sz w:val="20"/>
          <w:szCs w:val="20"/>
          <w:color w:val="auto"/>
        </w:rPr>
      </w:pPr>
      <w:r>
        <w:rPr>
          <w:rFonts w:ascii="Arial" w:cs="Arial" w:eastAsia="Arial" w:hAnsi="Arial"/>
          <w:sz w:val="22"/>
          <w:szCs w:val="22"/>
          <w:color w:val="auto"/>
        </w:rPr>
        <w:t>No. A-[●]</w:t>
      </w:r>
      <w:r>
        <w:rPr>
          <w:sz w:val="20"/>
          <w:szCs w:val="20"/>
          <w:color w:val="auto"/>
        </w:rPr>
        <w:tab/>
      </w:r>
      <w:r>
        <w:rPr>
          <w:rFonts w:ascii="Arial" w:cs="Arial" w:eastAsia="Arial" w:hAnsi="Arial"/>
          <w:sz w:val="22"/>
          <w:szCs w:val="22"/>
          <w:color w:val="auto"/>
        </w:rPr>
        <w:t>$[●]</w:t>
      </w:r>
    </w:p>
    <w:p>
      <w:pPr>
        <w:spacing w:after="0" w:line="221" w:lineRule="exact"/>
        <w:rPr>
          <w:sz w:val="20"/>
          <w:szCs w:val="20"/>
          <w:color w:val="auto"/>
        </w:rPr>
      </w:pPr>
    </w:p>
    <w:p>
      <w:pPr>
        <w:ind w:firstLine="881"/>
        <w:spacing w:after="0" w:line="242" w:lineRule="auto"/>
        <w:rPr>
          <w:sz w:val="20"/>
          <w:szCs w:val="20"/>
          <w:color w:val="auto"/>
        </w:rPr>
      </w:pPr>
      <w:r>
        <w:rPr>
          <w:rFonts w:ascii="Arial" w:cs="Arial" w:eastAsia="Arial" w:hAnsi="Arial"/>
          <w:sz w:val="21"/>
          <w:szCs w:val="21"/>
          <w:color w:val="auto"/>
        </w:rPr>
        <w:t>MICROSOFT CORPORATION, a corporation duly incorporated under the laws of the State of Washington (herein called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which term includes any successor Person under the Indenture hereinafter referred to), for value received, hereby promises to pay to CEDE &amp; CO., or registered assigns, the principal sum of $[●] ([●] DOLLARS) on March 17, 2052, and to pay interest thereon from March 17, 2021 or from the most recent Interest Payment Date to which interest has been paid or duly provided for, semi-annually on March 17 and September 17 of each year, commencing on September 17, 2021, at the rate of 2.921% per annum, until the principal hereof is paid or made available for payment;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principal and premium, and any such installment of interest, which is overdue shall bear interest at the rate of 2.921% per annum (to the extent permitted by applicable law),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Note (or one or more Predecessor Securities) is registered at the close of business on the Regular Record Date for such interest, which shall be the March 2 or the September 2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Securities) is registered at the close of business on a “</w:t>
      </w:r>
      <w:r>
        <w:rPr>
          <w:rFonts w:ascii="Arial" w:cs="Arial" w:eastAsia="Arial" w:hAnsi="Arial"/>
          <w:sz w:val="21"/>
          <w:szCs w:val="21"/>
          <w:u w:val="single" w:color="auto"/>
          <w:color w:val="auto"/>
        </w:rPr>
        <w:t>Special Record Date</w:t>
      </w:r>
      <w:r>
        <w:rPr>
          <w:rFonts w:ascii="Arial" w:cs="Arial" w:eastAsia="Arial" w:hAnsi="Arial"/>
          <w:sz w:val="21"/>
          <w:szCs w:val="21"/>
          <w:color w:val="auto"/>
        </w:rPr>
        <w:t>” for the payment of such Defaulted Interest to be fixed by the Trustee, notice whereof shall be given to Holders of Notes of this series not less than 10 days prior to such Special Record Date, or be paid at any time in any other lawful manner not inconsistent with the requirements of any securities exchange on which the Notes of this series may be listed, and upon such notice as may be required by such exchange, all as more fully provided in the Indenture.</w:t>
      </w:r>
    </w:p>
    <w:p>
      <w:pPr>
        <w:sectPr>
          <w:pgSz w:w="11900" w:h="16838" w:orient="portrait"/>
          <w:cols w:equalWidth="0" w:num="1">
            <w:col w:w="10980"/>
          </w:cols>
          <w:pgMar w:left="440" w:top="256" w:right="479" w:bottom="1440" w:gutter="0" w:footer="0" w:header="0"/>
        </w:sectPr>
      </w:pPr>
    </w:p>
    <w:bookmarkStart w:id="15" w:name="page16"/>
    <w:bookmarkEnd w:id="15"/>
    <w:p>
      <w:pPr>
        <w:ind w:right="320" w:firstLine="881"/>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 is hereby made to the further provisions of this Note set forth on the reverse hereof, which further provisions shall for all purposes have the same effect as if set forth at this place.</w:t>
      </w:r>
    </w:p>
    <w:p>
      <w:pPr>
        <w:spacing w:after="0" w:line="200" w:lineRule="exact"/>
        <w:rPr>
          <w:sz w:val="20"/>
          <w:szCs w:val="20"/>
          <w:color w:val="auto"/>
        </w:rPr>
      </w:pPr>
    </w:p>
    <w:p>
      <w:pPr>
        <w:ind w:firstLine="881"/>
        <w:spacing w:after="0" w:line="235" w:lineRule="auto"/>
        <w:rPr>
          <w:sz w:val="20"/>
          <w:szCs w:val="20"/>
          <w:color w:val="auto"/>
        </w:rPr>
      </w:pPr>
      <w:r>
        <w:rPr>
          <w:rFonts w:ascii="Arial" w:cs="Arial" w:eastAsia="Arial" w:hAnsi="Arial"/>
          <w:sz w:val="22"/>
          <w:szCs w:val="22"/>
          <w:color w:val="auto"/>
        </w:rPr>
        <w:t>Unless the certificate of authentication hereon has been executed by the Trustee referred to on the reverse hereof by manual or electronic signature, this Note shall not be entitled to any benefit under the Indenture or be valid or obligatory for any purpose.</w:t>
      </w:r>
    </w:p>
    <w:p>
      <w:pPr>
        <w:sectPr>
          <w:pgSz w:w="11900" w:h="16838" w:orient="portrait"/>
          <w:cols w:equalWidth="0" w:num="1">
            <w:col w:w="10820"/>
          </w:cols>
          <w:pgMar w:left="440" w:top="282" w:right="639" w:bottom="1440" w:gutter="0" w:footer="0" w:header="0"/>
        </w:sectPr>
      </w:pPr>
    </w:p>
    <w:bookmarkStart w:id="16" w:name="page17"/>
    <w:bookmarkEnd w:id="16"/>
    <w:p>
      <w:pPr>
        <w:ind w:right="1259" w:firstLine="881"/>
        <w:spacing w:after="0" w:line="44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duly executed. Dated: March 17, 2021</w:t>
      </w:r>
    </w:p>
    <w:p>
      <w:pPr>
        <w:spacing w:after="0" w:line="15" w:lineRule="exact"/>
        <w:rPr>
          <w:sz w:val="20"/>
          <w:szCs w:val="20"/>
          <w:color w:val="auto"/>
        </w:rPr>
      </w:pPr>
    </w:p>
    <w:p>
      <w:pPr>
        <w:jc w:val="right"/>
        <w:ind w:right="459"/>
        <w:spacing w:after="0"/>
        <w:rPr>
          <w:sz w:val="20"/>
          <w:szCs w:val="20"/>
          <w:color w:val="auto"/>
        </w:rPr>
      </w:pPr>
      <w:r>
        <w:rPr>
          <w:rFonts w:ascii="Arial" w:cs="Arial" w:eastAsia="Arial" w:hAnsi="Arial"/>
          <w:sz w:val="22"/>
          <w:szCs w:val="22"/>
          <w:color w:val="auto"/>
        </w:rPr>
        <w:t>MICROSOFT CORPORATION</w:t>
      </w:r>
    </w:p>
    <w:p>
      <w:pPr>
        <w:spacing w:after="0" w:line="200" w:lineRule="exact"/>
        <w:rPr>
          <w:sz w:val="20"/>
          <w:szCs w:val="20"/>
          <w:color w:val="auto"/>
        </w:rPr>
      </w:pPr>
    </w:p>
    <w:p>
      <w:pPr>
        <w:spacing w:after="0" w:line="222"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-1270</wp:posOffset>
            </wp:positionV>
            <wp:extent cx="25457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ind w:left="7000"/>
        <w:spacing w:after="0"/>
        <w:rPr>
          <w:sz w:val="20"/>
          <w:szCs w:val="20"/>
          <w:color w:val="auto"/>
        </w:rPr>
      </w:pPr>
      <w:r>
        <w:rPr>
          <w:rFonts w:ascii="Arial" w:cs="Arial" w:eastAsia="Arial" w:hAnsi="Arial"/>
          <w:sz w:val="22"/>
          <w:szCs w:val="22"/>
          <w:color w:val="auto"/>
        </w:rPr>
        <w:t>Name:</w:t>
      </w:r>
    </w:p>
    <w:p>
      <w:pPr>
        <w:ind w:left="7000"/>
        <w:spacing w:after="0"/>
        <w:rPr>
          <w:sz w:val="20"/>
          <w:szCs w:val="20"/>
          <w:color w:val="auto"/>
        </w:rPr>
      </w:pPr>
      <w:r>
        <w:rPr>
          <w:rFonts w:ascii="Arial" w:cs="Arial" w:eastAsia="Arial" w:hAnsi="Arial"/>
          <w:sz w:val="22"/>
          <w:szCs w:val="22"/>
          <w:color w:val="auto"/>
        </w:rPr>
        <w:t>Title:</w:t>
      </w:r>
    </w:p>
    <w:p>
      <w:pPr>
        <w:spacing w:after="0" w:line="12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w:t>
      </w:r>
    </w:p>
    <w:p>
      <w:pPr>
        <w:sectPr>
          <w:pgSz w:w="11900" w:h="16838" w:orient="portrait"/>
          <w:cols w:equalWidth="0" w:num="1">
            <w:col w:w="10019"/>
          </w:cols>
          <w:pgMar w:left="440" w:top="282" w:right="1440" w:bottom="1440" w:gutter="0" w:footer="0" w:header="0"/>
        </w:sectPr>
      </w:pPr>
    </w:p>
    <w:bookmarkStart w:id="17" w:name="page18"/>
    <w:bookmarkEnd w:id="17"/>
    <w:p>
      <w:pPr>
        <w:ind w:firstLine="881"/>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Note is one of the Securities of the series designated therein referred to in the within-mentioned Indenture.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March 17, 2021</w:t>
      </w:r>
    </w:p>
    <w:p>
      <w:pPr>
        <w:spacing w:after="0" w:line="223"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THE BANK OF NEW YORK MELLON</w:t>
      </w:r>
    </w:p>
    <w:p>
      <w:pPr>
        <w:ind w:left="6620"/>
        <w:spacing w:after="0" w:line="230" w:lineRule="auto"/>
        <w:rPr>
          <w:sz w:val="20"/>
          <w:szCs w:val="20"/>
          <w:color w:val="auto"/>
        </w:rPr>
      </w:pPr>
      <w:r>
        <w:rPr>
          <w:rFonts w:ascii="Arial" w:cs="Arial" w:eastAsia="Arial" w:hAnsi="Arial"/>
          <w:sz w:val="22"/>
          <w:szCs w:val="22"/>
          <w:color w:val="auto"/>
        </w:rPr>
        <w:t>TRUST COMPANY, N.A.,</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as Trustee</w:t>
      </w:r>
    </w:p>
    <w:p>
      <w:pPr>
        <w:spacing w:after="0" w:line="206"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-1270</wp:posOffset>
            </wp:positionV>
            <wp:extent cx="25374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7020"/>
        <w:spacing w:after="0"/>
        <w:rPr>
          <w:sz w:val="20"/>
          <w:szCs w:val="20"/>
          <w:color w:val="auto"/>
        </w:rPr>
      </w:pPr>
      <w:r>
        <w:rPr>
          <w:rFonts w:ascii="Arial" w:cs="Arial" w:eastAsia="Arial" w:hAnsi="Arial"/>
          <w:sz w:val="22"/>
          <w:szCs w:val="22"/>
          <w:color w:val="auto"/>
        </w:rPr>
        <w:t>Authorized Signatory</w:t>
      </w:r>
    </w:p>
    <w:p>
      <w:pPr>
        <w:spacing w:after="0" w:line="12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w:t>
      </w:r>
    </w:p>
    <w:p>
      <w:pPr>
        <w:sectPr>
          <w:pgSz w:w="11900" w:h="16838" w:orient="portrait"/>
          <w:cols w:equalWidth="0" w:num="1">
            <w:col w:w="10460"/>
          </w:cols>
          <w:pgMar w:left="440" w:top="282" w:right="99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[REVERSE OF NOTE]</w:t>
      </w:r>
    </w:p>
    <w:p>
      <w:pPr>
        <w:spacing w:after="0" w:line="232" w:lineRule="exact"/>
        <w:rPr>
          <w:sz w:val="20"/>
          <w:szCs w:val="20"/>
          <w:color w:val="auto"/>
        </w:rPr>
      </w:pPr>
    </w:p>
    <w:p>
      <w:pPr>
        <w:ind w:right="20" w:firstLine="881"/>
        <w:spacing w:after="0" w:line="231" w:lineRule="auto"/>
        <w:rPr>
          <w:sz w:val="20"/>
          <w:szCs w:val="20"/>
          <w:color w:val="auto"/>
        </w:rPr>
      </w:pPr>
      <w:r>
        <w:rPr>
          <w:rFonts w:ascii="Arial" w:cs="Arial" w:eastAsia="Arial" w:hAnsi="Arial"/>
          <w:sz w:val="22"/>
          <w:szCs w:val="22"/>
          <w:color w:val="auto"/>
        </w:rPr>
        <w:t>This Note is one of a duly authorized issue of securities of the Company (herein called the “</w:t>
      </w:r>
      <w:r>
        <w:rPr>
          <w:rFonts w:ascii="Arial" w:cs="Arial" w:eastAsia="Arial" w:hAnsi="Arial"/>
          <w:sz w:val="22"/>
          <w:szCs w:val="22"/>
          <w:u w:val="single" w:color="auto"/>
          <w:color w:val="auto"/>
        </w:rPr>
        <w:t>Notes</w:t>
      </w:r>
      <w:r>
        <w:rPr>
          <w:rFonts w:ascii="Arial" w:cs="Arial" w:eastAsia="Arial" w:hAnsi="Arial"/>
          <w:sz w:val="22"/>
          <w:szCs w:val="22"/>
          <w:color w:val="auto"/>
        </w:rPr>
        <w:t>”), issued under an Indenture, dated as of May 18, 2009, between the Company and The Bank of New York Mellon Trust Company, N.A., as trustee, and a fourteenth supplemental indenture relating to such series dated as of March 17, 2021 (herein, collectively called the “</w:t>
      </w:r>
      <w:r>
        <w:rPr>
          <w:rFonts w:ascii="Arial" w:cs="Arial" w:eastAsia="Arial" w:hAnsi="Arial"/>
          <w:sz w:val="22"/>
          <w:szCs w:val="22"/>
          <w:u w:val="single" w:color="auto"/>
          <w:color w:val="auto"/>
        </w:rPr>
        <w:t>Indenture</w:t>
      </w:r>
      <w:r>
        <w:rPr>
          <w:rFonts w:ascii="Arial" w:cs="Arial" w:eastAsia="Arial" w:hAnsi="Arial"/>
          <w:sz w:val="22"/>
          <w:szCs w:val="22"/>
          <w:color w:val="auto"/>
        </w:rPr>
        <w:t>,” which term shall have the meaning assigned to it in such instrument), between the Company and The Bank of New York Mellon Trust Company, N.A., as Trustee (herein called the “</w:t>
      </w:r>
      <w:r>
        <w:rPr>
          <w:rFonts w:ascii="Arial" w:cs="Arial" w:eastAsia="Arial" w:hAnsi="Arial"/>
          <w:sz w:val="22"/>
          <w:szCs w:val="22"/>
          <w:u w:val="single" w:color="auto"/>
          <w:color w:val="auto"/>
        </w:rPr>
        <w:t>Trustee</w:t>
      </w:r>
      <w:r>
        <w:rPr>
          <w:rFonts w:ascii="Arial" w:cs="Arial" w:eastAsia="Arial" w:hAnsi="Arial"/>
          <w:sz w:val="22"/>
          <w:szCs w:val="22"/>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Notes are, and are to be, authenticated and delivered. This Note is one of the series designated on the face hereof, such series initially limited in aggregate principal amount to $6,250,000,000;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may at any time and from time to time, without the consent of any Holder, issue additional Notes of this series.</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Notes of this series are not redeemable at the option of the Holders.</w:t>
      </w:r>
    </w:p>
    <w:p>
      <w:pPr>
        <w:spacing w:after="0" w:line="206" w:lineRule="exact"/>
        <w:rPr>
          <w:sz w:val="20"/>
          <w:szCs w:val="20"/>
          <w:color w:val="auto"/>
        </w:rPr>
      </w:pPr>
    </w:p>
    <w:p>
      <w:pPr>
        <w:ind w:firstLine="881"/>
        <w:spacing w:after="0" w:line="244" w:lineRule="auto"/>
        <w:rPr>
          <w:sz w:val="20"/>
          <w:szCs w:val="20"/>
          <w:color w:val="auto"/>
        </w:rPr>
      </w:pPr>
      <w:r>
        <w:rPr>
          <w:rFonts w:ascii="Arial" w:cs="Arial" w:eastAsia="Arial" w:hAnsi="Arial"/>
          <w:sz w:val="21"/>
          <w:szCs w:val="21"/>
          <w:color w:val="auto"/>
        </w:rPr>
        <w:t>At any time prior to September 17, 2051, the Notes shall be redeemable in whole or in part, at any time or from time to time, at the Company’s option, on at least 10 days’ but not more than 60 days’ prior notice mailed to the registered address of each Holder of Notes to be redeemed, at a redemption price (the “</w:t>
      </w:r>
      <w:r>
        <w:rPr>
          <w:rFonts w:ascii="Arial" w:cs="Arial" w:eastAsia="Arial" w:hAnsi="Arial"/>
          <w:sz w:val="21"/>
          <w:szCs w:val="21"/>
          <w:u w:val="single" w:color="auto"/>
          <w:color w:val="auto"/>
        </w:rPr>
        <w:t>Make-Whole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Redemption Price</w:t>
      </w:r>
      <w:r>
        <w:rPr>
          <w:rFonts w:ascii="Arial" w:cs="Arial" w:eastAsia="Arial" w:hAnsi="Arial"/>
          <w:sz w:val="21"/>
          <w:szCs w:val="21"/>
          <w:color w:val="auto"/>
        </w:rPr>
        <w:t>”), calculated by the Company, equal to the greater of (1) 100% of the principal amount of the Notes to be redeemed and (2) the sum of the present values of each remaining scheduled payment of principal and interest on the Notes to be redeemed (assuming for such purposes that the Notes mature on September 17, 2051) (exclusive of interest accrued to the Redemption Date) discounted to the Redemption Date on a semiannual basis (assuming a 360-day year consisting of twelve 30-day months) at the Treasury Rate plus 12.5 basis points.</w:t>
      </w:r>
    </w:p>
    <w:p>
      <w:pPr>
        <w:spacing w:after="0" w:line="196" w:lineRule="exact"/>
        <w:rPr>
          <w:sz w:val="20"/>
          <w:szCs w:val="20"/>
          <w:color w:val="auto"/>
        </w:rPr>
      </w:pPr>
    </w:p>
    <w:p>
      <w:pPr>
        <w:ind w:right="20" w:firstLine="881"/>
        <w:spacing w:after="0" w:line="233" w:lineRule="auto"/>
        <w:rPr>
          <w:sz w:val="20"/>
          <w:szCs w:val="20"/>
          <w:color w:val="auto"/>
        </w:rPr>
      </w:pPr>
      <w:r>
        <w:rPr>
          <w:rFonts w:ascii="Arial" w:cs="Arial" w:eastAsia="Arial" w:hAnsi="Arial"/>
          <w:sz w:val="22"/>
          <w:szCs w:val="22"/>
          <w:color w:val="auto"/>
        </w:rPr>
        <w:t>At any time on or after September 17, 2051, the Notes shall be redeemable in whole or in part, at any time, at the Company’s option, on at least 10 days’ but not more than 60 days’ prior notice mailed to the registered address of each Holder of Notes to be redeemed, at a redemption price (the “</w:t>
      </w:r>
      <w:r>
        <w:rPr>
          <w:rFonts w:ascii="Arial" w:cs="Arial" w:eastAsia="Arial" w:hAnsi="Arial"/>
          <w:sz w:val="22"/>
          <w:szCs w:val="22"/>
          <w:u w:val="single" w:color="auto"/>
          <w:color w:val="auto"/>
        </w:rPr>
        <w:t>Final Redemption Price</w:t>
      </w:r>
      <w:r>
        <w:rPr>
          <w:rFonts w:ascii="Arial" w:cs="Arial" w:eastAsia="Arial" w:hAnsi="Arial"/>
          <w:sz w:val="22"/>
          <w:szCs w:val="22"/>
          <w:color w:val="auto"/>
        </w:rPr>
        <w:t>” and, together with the Make-Whole Redemption Price, the “</w:t>
      </w:r>
      <w:r>
        <w:rPr>
          <w:rFonts w:ascii="Arial" w:cs="Arial" w:eastAsia="Arial" w:hAnsi="Arial"/>
          <w:sz w:val="22"/>
          <w:szCs w:val="22"/>
          <w:u w:val="single" w:color="auto"/>
          <w:color w:val="auto"/>
        </w:rPr>
        <w:t>Redemption Price</w:t>
      </w:r>
      <w:r>
        <w:rPr>
          <w:rFonts w:ascii="Arial" w:cs="Arial" w:eastAsia="Arial" w:hAnsi="Arial"/>
          <w:sz w:val="22"/>
          <w:szCs w:val="22"/>
          <w:color w:val="auto"/>
        </w:rPr>
        <w:t>”) equal to 100% of the principal amount of the Notes to be redeemed.</w:t>
      </w:r>
    </w:p>
    <w:p>
      <w:pPr>
        <w:spacing w:after="0" w:line="203" w:lineRule="exact"/>
        <w:rPr>
          <w:sz w:val="20"/>
          <w:szCs w:val="20"/>
          <w:color w:val="auto"/>
        </w:rPr>
      </w:pPr>
    </w:p>
    <w:p>
      <w:pPr>
        <w:ind w:right="300" w:firstLine="881"/>
        <w:spacing w:after="0" w:line="238" w:lineRule="auto"/>
        <w:rPr>
          <w:sz w:val="20"/>
          <w:szCs w:val="20"/>
          <w:color w:val="auto"/>
        </w:rPr>
      </w:pPr>
      <w:r>
        <w:rPr>
          <w:rFonts w:ascii="Arial" w:cs="Arial" w:eastAsia="Arial" w:hAnsi="Arial"/>
          <w:sz w:val="22"/>
          <w:szCs w:val="22"/>
          <w:color w:val="auto"/>
        </w:rPr>
        <w:t>The Redemption Price for any Notes redeemed pursuant to the two preceding paragraphs shall include accrued and unpaid interest on the principal amount of such Notes to the Redemption Date.</w:t>
      </w:r>
    </w:p>
    <w:p>
      <w:pPr>
        <w:spacing w:after="0" w:line="200" w:lineRule="exact"/>
        <w:rPr>
          <w:sz w:val="20"/>
          <w:szCs w:val="20"/>
          <w:color w:val="auto"/>
        </w:rPr>
      </w:pPr>
    </w:p>
    <w:p>
      <w:pPr>
        <w:ind w:right="800" w:firstLine="881"/>
        <w:spacing w:after="0" w:line="238" w:lineRule="auto"/>
        <w:rPr>
          <w:sz w:val="20"/>
          <w:szCs w:val="20"/>
          <w:color w:val="auto"/>
        </w:rPr>
      </w:pPr>
      <w:r>
        <w:rPr>
          <w:rFonts w:ascii="Arial" w:cs="Arial" w:eastAsia="Arial" w:hAnsi="Arial"/>
          <w:sz w:val="22"/>
          <w:szCs w:val="22"/>
          <w:color w:val="auto"/>
        </w:rPr>
        <w:t>For purposes of calculating the Make-Whole Redemption Price, the following terms shall have the following specified meanings:</w:t>
      </w:r>
    </w:p>
    <w:p>
      <w:pPr>
        <w:spacing w:after="0" w:line="200" w:lineRule="exact"/>
        <w:rPr>
          <w:sz w:val="20"/>
          <w:szCs w:val="20"/>
          <w:color w:val="auto"/>
        </w:rPr>
      </w:pPr>
    </w:p>
    <w:p>
      <w:pPr>
        <w:ind w:right="220" w:firstLine="881"/>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Comparable Treasury Issue</w:t>
      </w:r>
      <w:r>
        <w:rPr>
          <w:rFonts w:ascii="Arial" w:cs="Arial" w:eastAsia="Arial" w:hAnsi="Arial"/>
          <w:sz w:val="22"/>
          <w:szCs w:val="22"/>
          <w:color w:val="auto"/>
        </w:rPr>
        <w:t>” means the United States Treasury security or securities selected by an Independent Investment Banker as having an actual or interpolated maturity comparable to the remaining term of the Notes that would be utilized, at the time of selection and in accordance with customary financial practice, in pricing new issues of corporate debt securities of a comparable maturity to the remaining term of the Notes (assuming for such purposes that the Notes mature on September 17, 2051).</w:t>
      </w:r>
    </w:p>
    <w:p>
      <w:pPr>
        <w:sectPr>
          <w:pgSz w:w="11900" w:h="16838" w:orient="portrait"/>
          <w:cols w:equalWidth="0" w:num="1">
            <w:col w:w="11000"/>
          </w:cols>
          <w:pgMar w:left="440" w:top="256" w:right="459" w:bottom="1440" w:gutter="0" w:footer="0" w:header="0"/>
        </w:sectPr>
      </w:pPr>
    </w:p>
    <w:bookmarkStart w:id="19" w:name="page20"/>
    <w:bookmarkEnd w:id="19"/>
    <w:p>
      <w:pPr>
        <w:ind w:right="80" w:firstLine="881"/>
        <w:spacing w:after="0" w:line="234"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22"/>
          <w:szCs w:val="22"/>
          <w:u w:val="single" w:color="auto"/>
          <w:color w:val="auto"/>
        </w:rPr>
        <w:t>Comparable Treasury Price</w:t>
      </w:r>
      <w:r>
        <w:rPr>
          <w:rFonts w:ascii="Arial" w:cs="Arial" w:eastAsia="Arial" w:hAnsi="Arial"/>
          <w:sz w:val="22"/>
          <w:szCs w:val="22"/>
          <w:color w:val="auto"/>
        </w:rPr>
        <w:t>” means, with respect to any Redemption Date (A) the arithmetic average of the Reference Treasury Dealer Quotations for such Redemption Date, after excluding the highest and lowest such Reference Treasury Dealer Quotations or (B) if the Company obtains fewer than four such Reference Treasury Dealer Quotations, the arithmetic average of all such quotations for such Redemption Date.</w:t>
      </w:r>
    </w:p>
    <w:p>
      <w:pPr>
        <w:spacing w:after="0" w:line="201" w:lineRule="exact"/>
        <w:rPr>
          <w:sz w:val="20"/>
          <w:szCs w:val="20"/>
          <w:color w:val="auto"/>
        </w:rPr>
      </w:pPr>
    </w:p>
    <w:p>
      <w:pPr>
        <w:ind w:right="720" w:firstLine="88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Investment Banker</w:t>
      </w:r>
      <w:r>
        <w:rPr>
          <w:rFonts w:ascii="Arial" w:cs="Arial" w:eastAsia="Arial" w:hAnsi="Arial"/>
          <w:sz w:val="22"/>
          <w:szCs w:val="22"/>
          <w:color w:val="auto"/>
        </w:rPr>
        <w:t>” means one of the Reference Treasury Dealers appointed by the Company.</w:t>
      </w:r>
    </w:p>
    <w:p>
      <w:pPr>
        <w:spacing w:after="0" w:line="200" w:lineRule="exact"/>
        <w:rPr>
          <w:sz w:val="20"/>
          <w:szCs w:val="20"/>
          <w:color w:val="auto"/>
        </w:rPr>
      </w:pPr>
    </w:p>
    <w:p>
      <w:pPr>
        <w:ind w:right="120" w:firstLine="881"/>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Treasury Dealer</w:t>
      </w:r>
      <w:r>
        <w:rPr>
          <w:rFonts w:ascii="Arial" w:cs="Arial" w:eastAsia="Arial" w:hAnsi="Arial"/>
          <w:sz w:val="22"/>
          <w:szCs w:val="22"/>
          <w:color w:val="auto"/>
        </w:rPr>
        <w:t xml:space="preserve">” means Morgan Stanley &amp; Co. LLC and Wells Fargo Securities, LLC or their respective affiliates, which are primary U.S. government securities dealers in the United States of America and their respective successors plus two other primary U.S. government securities dealers in the United States of America designated by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any of the foregoing shall cease to be a primary U.S. government securities dealer in the United States of America (a “</w:t>
      </w:r>
      <w:r>
        <w:rPr>
          <w:rFonts w:ascii="Arial" w:cs="Arial" w:eastAsia="Arial" w:hAnsi="Arial"/>
          <w:sz w:val="22"/>
          <w:szCs w:val="22"/>
          <w:u w:val="single" w:color="auto"/>
          <w:color w:val="auto"/>
        </w:rPr>
        <w:t>Primary Treasury Dealer</w:t>
      </w:r>
      <w:r>
        <w:rPr>
          <w:rFonts w:ascii="Arial" w:cs="Arial" w:eastAsia="Arial" w:hAnsi="Arial"/>
          <w:sz w:val="22"/>
          <w:szCs w:val="22"/>
          <w:color w:val="auto"/>
        </w:rPr>
        <w:t>”), the Company shall substitute therefor another Primary Treasury Dealer.</w:t>
      </w:r>
    </w:p>
    <w:p>
      <w:pPr>
        <w:spacing w:after="0" w:line="200" w:lineRule="exact"/>
        <w:rPr>
          <w:sz w:val="20"/>
          <w:szCs w:val="20"/>
          <w:color w:val="auto"/>
        </w:rPr>
      </w:pPr>
    </w:p>
    <w:p>
      <w:pPr>
        <w:ind w:firstLine="881"/>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Treasury Dealer Quotation</w:t>
      </w:r>
      <w:r>
        <w:rPr>
          <w:rFonts w:ascii="Arial" w:cs="Arial" w:eastAsia="Arial" w:hAnsi="Arial"/>
          <w:sz w:val="22"/>
          <w:szCs w:val="22"/>
          <w:color w:val="auto"/>
        </w:rPr>
        <w:t>” means, with respect to each Reference Treasury Dealer and any Redemption Date, the arithmetic average, as determined by the Company, of the bid and asked prices for the applicable Comparable Treasury Issue (expressed in each case as a percentage of its principal amount) quoted in writing to the Company by such Reference Treasury Dealer at 3:30 p.m. (New York City time) on the third Business Day preceding such Redemption Date.</w:t>
      </w:r>
    </w:p>
    <w:p>
      <w:pPr>
        <w:spacing w:after="0" w:line="203" w:lineRule="exact"/>
        <w:rPr>
          <w:sz w:val="20"/>
          <w:szCs w:val="20"/>
          <w:color w:val="auto"/>
        </w:rPr>
      </w:pPr>
    </w:p>
    <w:p>
      <w:pPr>
        <w:ind w:right="40" w:firstLine="881"/>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Rate</w:t>
      </w:r>
      <w:r>
        <w:rPr>
          <w:rFonts w:ascii="Arial" w:cs="Arial" w:eastAsia="Arial" w:hAnsi="Arial"/>
          <w:sz w:val="22"/>
          <w:szCs w:val="22"/>
          <w:color w:val="auto"/>
        </w:rPr>
        <w:t>” means, with respect to any Redemption Date, the rate per annum equal to the semiannual equivalent yield to maturity or interpolated maturity (on a day count basis) of the applicable Comparable Treasury Issue, assuming a price for such Comparable Treasury Issue (expressed as a percentage of its principal amount) equal to the applicable Comparable Treasury Price for such Redemption Date.</w:t>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provisions of Article XI of the Indenture shall apply to any redemption of the Notes.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Notes of this series are not entitled to the benefit of any sinking fund.</w:t>
      </w:r>
    </w:p>
    <w:p>
      <w:pPr>
        <w:spacing w:after="0" w:line="206" w:lineRule="exact"/>
        <w:rPr>
          <w:sz w:val="20"/>
          <w:szCs w:val="20"/>
          <w:color w:val="auto"/>
        </w:rPr>
      </w:pPr>
    </w:p>
    <w:p>
      <w:pPr>
        <w:ind w:right="220" w:firstLine="881"/>
        <w:spacing w:after="0" w:line="235" w:lineRule="auto"/>
        <w:rPr>
          <w:sz w:val="20"/>
          <w:szCs w:val="20"/>
          <w:color w:val="auto"/>
        </w:rPr>
      </w:pPr>
      <w:r>
        <w:rPr>
          <w:rFonts w:ascii="Arial" w:cs="Arial" w:eastAsia="Arial" w:hAnsi="Arial"/>
          <w:sz w:val="22"/>
          <w:szCs w:val="22"/>
          <w:color w:val="auto"/>
        </w:rPr>
        <w:t>The Indenture contains provisions for defeasance at any time of the entire indebtedness of the Notes of this series or certain restrictive covenants and Events of Default with respect to such Notes, in each case upon compliance with certain conditions set forth in the Indenture.</w:t>
      </w:r>
    </w:p>
    <w:p>
      <w:pPr>
        <w:spacing w:after="0" w:line="202" w:lineRule="exact"/>
        <w:rPr>
          <w:sz w:val="20"/>
          <w:szCs w:val="20"/>
          <w:color w:val="auto"/>
        </w:rPr>
      </w:pPr>
    </w:p>
    <w:p>
      <w:pPr>
        <w:ind w:right="340" w:firstLine="881"/>
        <w:spacing w:after="0" w:line="235" w:lineRule="auto"/>
        <w:rPr>
          <w:sz w:val="20"/>
          <w:szCs w:val="20"/>
          <w:color w:val="auto"/>
        </w:rPr>
      </w:pPr>
      <w:r>
        <w:rPr>
          <w:rFonts w:ascii="Arial" w:cs="Arial" w:eastAsia="Arial" w:hAnsi="Arial"/>
          <w:sz w:val="22"/>
          <w:szCs w:val="22"/>
          <w:color w:val="auto"/>
        </w:rPr>
        <w:t>If an Event of Default with respect to Notes of this series shall occur and be continuing, the principal of such Notes may be declared, or shall immediately become, due and payable in the manner and with the effect provided in the Indenture.</w:t>
      </w:r>
    </w:p>
    <w:p>
      <w:pPr>
        <w:sectPr>
          <w:pgSz w:w="11900" w:h="16838" w:orient="portrait"/>
          <w:cols w:equalWidth="0" w:num="1">
            <w:col w:w="10960"/>
          </w:cols>
          <w:pgMar w:left="440" w:top="282" w:right="499" w:bottom="1440" w:gutter="0" w:footer="0" w:header="0"/>
        </w:sectPr>
      </w:pPr>
    </w:p>
    <w:bookmarkStart w:id="20" w:name="page21"/>
    <w:bookmarkEnd w:id="20"/>
    <w:p>
      <w:pPr>
        <w:ind w:firstLine="881"/>
        <w:spacing w:after="0" w:line="23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Notes of each series to be affected under the Indenture at any time by the Company and the Trustee with the consent of the Holders of a majority in aggregate principal amount of the Notes at the time Outstanding of each series to be affected. The Indenture also contains provisions permitting the Holders of specified percentages in aggregate principal amount of the Notes of each series at the time Outstanding, on behalf of the Holders of all Notes of such series, to waive compliance by the Company with certain provisions of the Indenture and certain past defaults under the Indenture and their consequences. Any such consent or waiver by the Holders of Notes of this series shall be conclusive and binding upon such Holders and upon all future Holders of this Note and of any Note issued upon the registration of transfer hereof or in exchange herefor or in lieu hereof, whether or not notation of such consent or waiver is made upon this Note.</w:t>
      </w:r>
    </w:p>
    <w:p>
      <w:pPr>
        <w:spacing w:after="0" w:line="211" w:lineRule="exact"/>
        <w:rPr>
          <w:sz w:val="20"/>
          <w:szCs w:val="20"/>
          <w:color w:val="auto"/>
        </w:rPr>
      </w:pPr>
    </w:p>
    <w:p>
      <w:pPr>
        <w:ind w:right="20" w:firstLine="881"/>
        <w:spacing w:after="0" w:line="243" w:lineRule="auto"/>
        <w:rPr>
          <w:sz w:val="20"/>
          <w:szCs w:val="20"/>
          <w:color w:val="auto"/>
        </w:rPr>
      </w:pPr>
      <w:r>
        <w:rPr>
          <w:rFonts w:ascii="Arial" w:cs="Arial" w:eastAsia="Arial" w:hAnsi="Arial"/>
          <w:sz w:val="21"/>
          <w:szCs w:val="21"/>
          <w:color w:val="auto"/>
        </w:rPr>
        <w:t>As provided in and subject to the provisions of the Indenture, the Holders of the Notes of this series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of this series, the Holders of not less than 25% in aggregate principal amount of the Notes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aggregate principal amount of such Notes at the time Outstanding a direction inconsistent with such request, and shall have failed to institute any such proceeding, for 60 days after receipt of such notice, request and offer of indemnity. The foregoing shall not apply to any suit instituted by the Holder of this Note for the enforcement of any payment of principal hereof or any premium or interest hereon on or after the respective due dates expressed herein.</w:t>
      </w:r>
    </w:p>
    <w:p>
      <w:pPr>
        <w:spacing w:after="0" w:line="200" w:lineRule="exact"/>
        <w:rPr>
          <w:sz w:val="20"/>
          <w:szCs w:val="20"/>
          <w:color w:val="auto"/>
        </w:rPr>
      </w:pPr>
    </w:p>
    <w:p>
      <w:pPr>
        <w:ind w:right="140" w:firstLine="881"/>
        <w:spacing w:after="0" w:line="235"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any premium and interest on this Note at the times, place and rate, and in the coin or currency, herein prescribed.</w:t>
      </w:r>
    </w:p>
    <w:p>
      <w:pPr>
        <w:spacing w:after="0" w:line="202" w:lineRule="exact"/>
        <w:rPr>
          <w:sz w:val="20"/>
          <w:szCs w:val="20"/>
          <w:color w:val="auto"/>
        </w:rPr>
      </w:pPr>
    </w:p>
    <w:p>
      <w:pPr>
        <w:ind w:right="40" w:firstLine="881"/>
        <w:spacing w:after="0" w:line="232" w:lineRule="auto"/>
        <w:rPr>
          <w:sz w:val="20"/>
          <w:szCs w:val="20"/>
          <w:color w:val="auto"/>
        </w:rPr>
      </w:pPr>
      <w:r>
        <w:rPr>
          <w:rFonts w:ascii="Arial" w:cs="Arial" w:eastAsia="Arial" w:hAnsi="Arial"/>
          <w:sz w:val="22"/>
          <w:szCs w:val="22"/>
          <w:color w:val="auto"/>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any premium and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of this series and of like tenor, of authorized denominations and for the same aggregate principal amount, will be issued to the designated transferee or transferees.</w:t>
      </w:r>
    </w:p>
    <w:p>
      <w:pPr>
        <w:spacing w:after="0" w:line="205" w:lineRule="exact"/>
        <w:rPr>
          <w:sz w:val="20"/>
          <w:szCs w:val="20"/>
          <w:color w:val="auto"/>
        </w:rPr>
      </w:pPr>
    </w:p>
    <w:p>
      <w:pPr>
        <w:ind w:right="60" w:firstLine="881"/>
        <w:spacing w:after="0" w:line="247" w:lineRule="auto"/>
        <w:rPr>
          <w:sz w:val="20"/>
          <w:szCs w:val="20"/>
          <w:color w:val="auto"/>
        </w:rPr>
      </w:pPr>
      <w:r>
        <w:rPr>
          <w:rFonts w:ascii="Arial" w:cs="Arial" w:eastAsia="Arial" w:hAnsi="Arial"/>
          <w:sz w:val="21"/>
          <w:szCs w:val="21"/>
          <w:color w:val="auto"/>
        </w:rPr>
        <w:t>The Notes of this series are issuable only in registered form without coupons in denominations of $2,000 and integral multiples of $1,000 in excess thereof. As provided in the Indenture and subject to certain limitations therein set forth, Notes of this series are exchangeable for a like principal amount of Notes of this series and of like tenor of a different authorized denomination, as requested by the Holder surrendering the same.</w:t>
      </w:r>
    </w:p>
    <w:p>
      <w:pPr>
        <w:sectPr>
          <w:pgSz w:w="11900" w:h="16838" w:orient="portrait"/>
          <w:cols w:equalWidth="0" w:num="1">
            <w:col w:w="11000"/>
          </w:cols>
          <w:pgMar w:left="440" w:top="282" w:right="459" w:bottom="1440" w:gutter="0" w:footer="0" w:header="0"/>
        </w:sectPr>
      </w:pPr>
    </w:p>
    <w:bookmarkStart w:id="21" w:name="page22"/>
    <w:bookmarkEnd w:id="21"/>
    <w:p>
      <w:pPr>
        <w:jc w:val="both"/>
        <w:ind w:right="20" w:firstLine="881"/>
        <w:spacing w:after="0" w:line="25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service charge shall be made for any such registration of transfer or exchange, but the Company may require payment of a sum sufficient to cover any tax or other governmental charge payable in connection therewith.</w:t>
      </w:r>
    </w:p>
    <w:p>
      <w:pPr>
        <w:spacing w:after="0" w:line="181" w:lineRule="exact"/>
        <w:rPr>
          <w:sz w:val="20"/>
          <w:szCs w:val="20"/>
          <w:color w:val="auto"/>
        </w:rPr>
      </w:pPr>
    </w:p>
    <w:p>
      <w:pPr>
        <w:jc w:val="both"/>
        <w:ind w:right="80" w:firstLine="881"/>
        <w:spacing w:after="0" w:line="234" w:lineRule="auto"/>
        <w:rPr>
          <w:sz w:val="20"/>
          <w:szCs w:val="20"/>
          <w:color w:val="auto"/>
        </w:rPr>
      </w:pPr>
      <w:r>
        <w:rPr>
          <w:rFonts w:ascii="Arial" w:cs="Arial" w:eastAsia="Arial" w:hAnsi="Arial"/>
          <w:sz w:val="22"/>
          <w:szCs w:val="22"/>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1" w:lineRule="exact"/>
        <w:rPr>
          <w:sz w:val="20"/>
          <w:szCs w:val="20"/>
          <w:color w:val="auto"/>
        </w:rPr>
      </w:pPr>
    </w:p>
    <w:p>
      <w:pPr>
        <w:ind w:right="820" w:firstLine="881"/>
        <w:spacing w:after="0" w:line="259" w:lineRule="auto"/>
        <w:rPr>
          <w:sz w:val="20"/>
          <w:szCs w:val="20"/>
          <w:color w:val="auto"/>
        </w:rPr>
      </w:pPr>
      <w:r>
        <w:rPr>
          <w:rFonts w:ascii="Arial" w:cs="Arial" w:eastAsia="Arial" w:hAnsi="Arial"/>
          <w:sz w:val="21"/>
          <w:szCs w:val="21"/>
          <w:color w:val="auto"/>
        </w:rPr>
        <w:t>This Note is a Global Security and is subject to the provisions of the Indenture relating to Global Securities, including the limitations in Section 305 thereof on transfers and exchanges of Global Securities.</w:t>
      </w:r>
    </w:p>
    <w:p>
      <w:pPr>
        <w:spacing w:after="0" w:line="181" w:lineRule="exact"/>
        <w:rPr>
          <w:sz w:val="20"/>
          <w:szCs w:val="20"/>
          <w:color w:val="auto"/>
        </w:rPr>
      </w:pPr>
    </w:p>
    <w:p>
      <w:pPr>
        <w:ind w:firstLine="881"/>
        <w:spacing w:after="0" w:line="238" w:lineRule="auto"/>
        <w:rPr>
          <w:sz w:val="20"/>
          <w:szCs w:val="20"/>
          <w:color w:val="auto"/>
        </w:rPr>
      </w:pPr>
      <w:r>
        <w:rPr>
          <w:rFonts w:ascii="Arial" w:cs="Arial" w:eastAsia="Arial" w:hAnsi="Arial"/>
          <w:sz w:val="22"/>
          <w:szCs w:val="22"/>
          <w:color w:val="auto"/>
        </w:rPr>
        <w:t>This Note and the Indenture shall be governed by, and construed in accordance with, the laws of the State of New York.</w:t>
      </w:r>
    </w:p>
    <w:p>
      <w:pPr>
        <w:spacing w:after="0" w:line="200" w:lineRule="exact"/>
        <w:rPr>
          <w:sz w:val="20"/>
          <w:szCs w:val="20"/>
          <w:color w:val="auto"/>
        </w:rPr>
      </w:pPr>
    </w:p>
    <w:p>
      <w:pPr>
        <w:ind w:right="200" w:firstLine="881"/>
        <w:spacing w:after="0" w:line="238" w:lineRule="auto"/>
        <w:rPr>
          <w:sz w:val="20"/>
          <w:szCs w:val="20"/>
          <w:color w:val="auto"/>
        </w:rPr>
      </w:pPr>
      <w:r>
        <w:rPr>
          <w:rFonts w:ascii="Arial" w:cs="Arial" w:eastAsia="Arial" w:hAnsi="Arial"/>
          <w:sz w:val="22"/>
          <w:szCs w:val="22"/>
          <w:color w:val="auto"/>
        </w:rPr>
        <w:t>All terms used in this Note which are defined in the Indenture shall have the meanings assigned to them in the Indenture.</w:t>
      </w:r>
    </w:p>
    <w:p>
      <w:pPr>
        <w:sectPr>
          <w:pgSz w:w="11900" w:h="16838" w:orient="portrait"/>
          <w:cols w:equalWidth="0" w:num="1">
            <w:col w:w="11000"/>
          </w:cols>
          <w:pgMar w:left="440" w:top="282" w:right="45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3.041% NOTE DUE 2062</w:t>
      </w:r>
    </w:p>
    <w:p>
      <w:pPr>
        <w:spacing w:after="0" w:line="206" w:lineRule="exact"/>
        <w:rPr>
          <w:sz w:val="20"/>
          <w:szCs w:val="20"/>
          <w:color w:val="auto"/>
        </w:rPr>
      </w:pPr>
    </w:p>
    <w:p>
      <w:pPr>
        <w:jc w:val="both"/>
        <w:ind w:right="20" w:firstLine="881"/>
        <w:spacing w:after="0" w:line="235" w:lineRule="auto"/>
        <w:rPr>
          <w:sz w:val="20"/>
          <w:szCs w:val="20"/>
          <w:color w:val="auto"/>
        </w:rPr>
      </w:pPr>
      <w:r>
        <w:rPr>
          <w:rFonts w:ascii="Arial" w:cs="Arial" w:eastAsia="Arial" w:hAnsi="Arial"/>
          <w:sz w:val="22"/>
          <w:szCs w:val="22"/>
          <w:b w:val="1"/>
          <w:bCs w:val="1"/>
          <w:color w:val="auto"/>
        </w:rPr>
        <w:t>UNLESS THIS CERTIFICATE IS PRESENTED BY AN AUTHORIZED REPRESENTATIVE OF THE DEPOSITORY TRUST COMPANY, A NEW YORK CORPORATION (“</w:t>
      </w:r>
      <w:r>
        <w:rPr>
          <w:rFonts w:ascii="Arial" w:cs="Arial" w:eastAsia="Arial" w:hAnsi="Arial"/>
          <w:sz w:val="22"/>
          <w:szCs w:val="22"/>
          <w:b w:val="1"/>
          <w:bCs w:val="1"/>
          <w:u w:val="single" w:color="auto"/>
          <w:color w:val="auto"/>
        </w:rPr>
        <w:t>DTC</w:t>
      </w:r>
      <w:r>
        <w:rPr>
          <w:rFonts w:ascii="Arial" w:cs="Arial" w:eastAsia="Arial" w:hAnsi="Arial"/>
          <w:sz w:val="22"/>
          <w:szCs w:val="22"/>
          <w:b w:val="1"/>
          <w:bCs w:val="1"/>
          <w:color w:val="auto"/>
        </w:rPr>
        <w:t>”), NEW YORK, NEW YORK,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both"/>
        <w:ind w:firstLine="881"/>
        <w:spacing w:after="0" w:line="238" w:lineRule="auto"/>
        <w:rPr>
          <w:sz w:val="20"/>
          <w:szCs w:val="20"/>
          <w:color w:val="auto"/>
        </w:rPr>
      </w:pPr>
      <w:r>
        <w:rPr>
          <w:rFonts w:ascii="Arial" w:cs="Arial" w:eastAsia="Arial" w:hAnsi="Arial"/>
          <w:sz w:val="22"/>
          <w:szCs w:val="22"/>
          <w:b w:val="1"/>
          <w:bCs w:val="1"/>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77" w:lineRule="exact"/>
        <w:rPr>
          <w:sz w:val="20"/>
          <w:szCs w:val="20"/>
          <w:color w:val="auto"/>
        </w:rPr>
      </w:pPr>
    </w:p>
    <w:p>
      <w:pPr>
        <w:jc w:val="both"/>
        <w:ind w:firstLine="881"/>
        <w:spacing w:after="0" w:line="237" w:lineRule="auto"/>
        <w:rPr>
          <w:sz w:val="20"/>
          <w:szCs w:val="20"/>
          <w:color w:val="auto"/>
        </w:rPr>
      </w:pPr>
      <w:r>
        <w:rPr>
          <w:rFonts w:ascii="Arial" w:cs="Arial" w:eastAsia="Arial" w:hAnsi="Arial"/>
          <w:sz w:val="22"/>
          <w:szCs w:val="22"/>
          <w:b w:val="1"/>
          <w:bCs w:val="1"/>
          <w:color w:val="auto"/>
        </w:rPr>
        <w:t>THIS NOTE IS A GLOBAL SECURITY WITHIN THE MEANING OF THE INDENTURE REFERRED TO HEREIN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ectPr>
          <w:pgSz w:w="11900" w:h="16838" w:orient="portrait"/>
          <w:cols w:equalWidth="0" w:num="1">
            <w:col w:w="11020"/>
          </w:cols>
          <w:pgMar w:left="440" w:top="256" w:right="4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MICROSOFT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3.041% Notes due 2062</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CUSIP No.: 594918 CF9</w:t>
      </w:r>
    </w:p>
    <w:p>
      <w:pPr>
        <w:spacing w:after="0"/>
        <w:rPr>
          <w:sz w:val="20"/>
          <w:szCs w:val="20"/>
          <w:color w:val="auto"/>
        </w:rPr>
      </w:pPr>
      <w:r>
        <w:rPr>
          <w:rFonts w:ascii="Arial" w:cs="Arial" w:eastAsia="Arial" w:hAnsi="Arial"/>
          <w:sz w:val="22"/>
          <w:szCs w:val="22"/>
          <w:color w:val="auto"/>
        </w:rPr>
        <w:t>ISIN: US594918CF95</w:t>
      </w:r>
    </w:p>
    <w:p>
      <w:pPr>
        <w:spacing w:after="0" w:line="218" w:lineRule="exact"/>
        <w:rPr>
          <w:sz w:val="20"/>
          <w:szCs w:val="20"/>
          <w:color w:val="auto"/>
        </w:rPr>
      </w:pPr>
    </w:p>
    <w:p>
      <w:pPr>
        <w:spacing w:after="0"/>
        <w:tabs>
          <w:tab w:leader="none" w:pos="10620" w:val="left"/>
        </w:tabs>
        <w:rPr>
          <w:sz w:val="20"/>
          <w:szCs w:val="20"/>
          <w:color w:val="auto"/>
        </w:rPr>
      </w:pPr>
      <w:r>
        <w:rPr>
          <w:rFonts w:ascii="Arial" w:cs="Arial" w:eastAsia="Arial" w:hAnsi="Arial"/>
          <w:sz w:val="22"/>
          <w:szCs w:val="22"/>
          <w:color w:val="auto"/>
        </w:rPr>
        <w:t>No. A-[●]</w:t>
      </w:r>
      <w:r>
        <w:rPr>
          <w:sz w:val="20"/>
          <w:szCs w:val="20"/>
          <w:color w:val="auto"/>
        </w:rPr>
        <w:tab/>
      </w:r>
      <w:r>
        <w:rPr>
          <w:rFonts w:ascii="Arial" w:cs="Arial" w:eastAsia="Arial" w:hAnsi="Arial"/>
          <w:sz w:val="22"/>
          <w:szCs w:val="22"/>
          <w:color w:val="auto"/>
        </w:rPr>
        <w:t>$[●]</w:t>
      </w:r>
    </w:p>
    <w:p>
      <w:pPr>
        <w:spacing w:after="0" w:line="221" w:lineRule="exact"/>
        <w:rPr>
          <w:sz w:val="20"/>
          <w:szCs w:val="20"/>
          <w:color w:val="auto"/>
        </w:rPr>
      </w:pPr>
    </w:p>
    <w:p>
      <w:pPr>
        <w:ind w:right="40" w:firstLine="881"/>
        <w:spacing w:after="0" w:line="242" w:lineRule="auto"/>
        <w:rPr>
          <w:sz w:val="20"/>
          <w:szCs w:val="20"/>
          <w:color w:val="auto"/>
        </w:rPr>
      </w:pPr>
      <w:r>
        <w:rPr>
          <w:rFonts w:ascii="Arial" w:cs="Arial" w:eastAsia="Arial" w:hAnsi="Arial"/>
          <w:sz w:val="21"/>
          <w:szCs w:val="21"/>
          <w:color w:val="auto"/>
        </w:rPr>
        <w:t>MICROSOFT CORPORATION, a corporation duly incorporated under the laws of the State of Washington (herein called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which term includes any successor Person under the Indenture hereinafter referred to), for value received, hereby promises to pay to CEDE &amp; CO., or registered assigns, the principal sum of $[●] ([●] DOLLARS) on March 17, 2062, and to pay interest thereon from March 17, 2021 or from the most recent Interest Payment Date to which interest has been paid or duly provided for, semi-annually on March 17 and September 17 of each year, commencing on September 17, 2021, at the rate of 3.041% per annum, until the principal hereof is paid or made available for payment;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principal and premium, and any such installment of interest, which is overdue shall bear interest at the rate of 3.041% per annum (to the extent permitted by applicable law),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Note (or one or more Predecessor Securities) is registered at the close of business on the Regular Record Date for such interest, which shall be the March 2 or the September 2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Securities) is registered at the close of business on a “</w:t>
      </w:r>
      <w:r>
        <w:rPr>
          <w:rFonts w:ascii="Arial" w:cs="Arial" w:eastAsia="Arial" w:hAnsi="Arial"/>
          <w:sz w:val="21"/>
          <w:szCs w:val="21"/>
          <w:u w:val="single" w:color="auto"/>
          <w:color w:val="auto"/>
        </w:rPr>
        <w:t>Special Record Date</w:t>
      </w:r>
      <w:r>
        <w:rPr>
          <w:rFonts w:ascii="Arial" w:cs="Arial" w:eastAsia="Arial" w:hAnsi="Arial"/>
          <w:sz w:val="21"/>
          <w:szCs w:val="21"/>
          <w:color w:val="auto"/>
        </w:rPr>
        <w:t>” for the payment of such Defaulted Interest to be fixed by the Trustee, notice whereof shall be given to Holders of Notes of this series not less than 10 days prior to such Special Record Date, or be paid at any time in any other lawful manner not inconsistent with the requirements of any securities exchange on which the Notes of this series may be listed, and upon such notice as may be required by such exchange, all as more fully provided in the Indenture.</w:t>
      </w:r>
    </w:p>
    <w:p>
      <w:pPr>
        <w:sectPr>
          <w:pgSz w:w="11900" w:h="16838" w:orient="portrait"/>
          <w:cols w:equalWidth="0" w:num="1">
            <w:col w:w="11020"/>
          </w:cols>
          <w:pgMar w:left="440" w:top="256" w:right="439" w:bottom="1440" w:gutter="0" w:footer="0" w:header="0"/>
        </w:sectPr>
      </w:pPr>
    </w:p>
    <w:bookmarkStart w:id="24" w:name="page25"/>
    <w:bookmarkEnd w:id="24"/>
    <w:p>
      <w:pPr>
        <w:ind w:right="320" w:firstLine="881"/>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 is hereby made to the further provisions of this Note set forth on the reverse hereof, which further provisions shall for all purposes have the same effect as if set forth at this place.</w:t>
      </w:r>
    </w:p>
    <w:p>
      <w:pPr>
        <w:spacing w:after="0" w:line="200" w:lineRule="exact"/>
        <w:rPr>
          <w:sz w:val="20"/>
          <w:szCs w:val="20"/>
          <w:color w:val="auto"/>
        </w:rPr>
      </w:pPr>
    </w:p>
    <w:p>
      <w:pPr>
        <w:ind w:firstLine="881"/>
        <w:spacing w:after="0" w:line="235" w:lineRule="auto"/>
        <w:rPr>
          <w:sz w:val="20"/>
          <w:szCs w:val="20"/>
          <w:color w:val="auto"/>
        </w:rPr>
      </w:pPr>
      <w:r>
        <w:rPr>
          <w:rFonts w:ascii="Arial" w:cs="Arial" w:eastAsia="Arial" w:hAnsi="Arial"/>
          <w:sz w:val="22"/>
          <w:szCs w:val="22"/>
          <w:color w:val="auto"/>
        </w:rPr>
        <w:t>Unless the certificate of authentication hereon has been executed by the Trustee referred to on the reverse hereof by manual or electronic signature, this Note shall not be entitled to any benefit under the Indenture or be valid or obligatory for any purpose.</w:t>
      </w:r>
    </w:p>
    <w:p>
      <w:pPr>
        <w:sectPr>
          <w:pgSz w:w="11900" w:h="16838" w:orient="portrait"/>
          <w:cols w:equalWidth="0" w:num="1">
            <w:col w:w="10820"/>
          </w:cols>
          <w:pgMar w:left="440" w:top="282" w:right="639" w:bottom="1440" w:gutter="0" w:footer="0" w:header="0"/>
        </w:sectPr>
      </w:pPr>
    </w:p>
    <w:bookmarkStart w:id="25" w:name="page26"/>
    <w:bookmarkEnd w:id="25"/>
    <w:p>
      <w:pPr>
        <w:ind w:right="1259" w:firstLine="881"/>
        <w:spacing w:after="0" w:line="44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duly executed. Dated: March 17, 2021</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21"/>
          <w:szCs w:val="21"/>
          <w:color w:val="auto"/>
        </w:rPr>
        <w:t>MICROSOFT CORPORATION</w:t>
      </w:r>
    </w:p>
    <w:p>
      <w:pPr>
        <w:spacing w:after="0" w:line="326"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152400</wp:posOffset>
            </wp:positionV>
            <wp:extent cx="25285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230" w:lineRule="exact"/>
        <w:rPr>
          <w:sz w:val="20"/>
          <w:szCs w:val="20"/>
          <w:color w:val="auto"/>
        </w:rPr>
      </w:pPr>
    </w:p>
    <w:p>
      <w:pPr>
        <w:ind w:left="7020"/>
        <w:spacing w:after="0"/>
        <w:rPr>
          <w:sz w:val="20"/>
          <w:szCs w:val="20"/>
          <w:color w:val="auto"/>
        </w:rPr>
      </w:pPr>
      <w:r>
        <w:rPr>
          <w:rFonts w:ascii="Arial" w:cs="Arial" w:eastAsia="Arial" w:hAnsi="Arial"/>
          <w:sz w:val="22"/>
          <w:szCs w:val="22"/>
          <w:color w:val="auto"/>
        </w:rPr>
        <w:t>Name:</w:t>
      </w:r>
    </w:p>
    <w:p>
      <w:pPr>
        <w:ind w:left="7020"/>
        <w:spacing w:after="0"/>
        <w:rPr>
          <w:sz w:val="20"/>
          <w:szCs w:val="20"/>
          <w:color w:val="auto"/>
        </w:rPr>
      </w:pPr>
      <w:r>
        <w:rPr>
          <w:rFonts w:ascii="Arial" w:cs="Arial" w:eastAsia="Arial" w:hAnsi="Arial"/>
          <w:sz w:val="22"/>
          <w:szCs w:val="22"/>
          <w:color w:val="auto"/>
        </w:rPr>
        <w:t>Title:</w:t>
      </w:r>
    </w:p>
    <w:p>
      <w:pPr>
        <w:spacing w:after="0" w:line="12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w:t>
      </w:r>
    </w:p>
    <w:p>
      <w:pPr>
        <w:sectPr>
          <w:pgSz w:w="11900" w:h="16838" w:orient="portrait"/>
          <w:cols w:equalWidth="0" w:num="1">
            <w:col w:w="10019"/>
          </w:cols>
          <w:pgMar w:left="440" w:top="282" w:right="1440" w:bottom="1440" w:gutter="0" w:footer="0" w:header="0"/>
        </w:sectPr>
      </w:pPr>
    </w:p>
    <w:bookmarkStart w:id="26" w:name="page27"/>
    <w:bookmarkEnd w:id="26"/>
    <w:p>
      <w:pPr>
        <w:ind w:firstLine="881"/>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Note is one of the Securities of the series designated therein referred to in the within-mentioned Indenture.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March 17, 2021</w:t>
      </w:r>
    </w:p>
    <w:p>
      <w:pPr>
        <w:spacing w:after="0" w:line="223"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THE BANK OF NEW YORK MELLON</w:t>
      </w:r>
    </w:p>
    <w:p>
      <w:pPr>
        <w:ind w:left="6620"/>
        <w:spacing w:after="0" w:line="230" w:lineRule="auto"/>
        <w:rPr>
          <w:sz w:val="20"/>
          <w:szCs w:val="20"/>
          <w:color w:val="auto"/>
        </w:rPr>
      </w:pPr>
      <w:r>
        <w:rPr>
          <w:rFonts w:ascii="Arial" w:cs="Arial" w:eastAsia="Arial" w:hAnsi="Arial"/>
          <w:sz w:val="22"/>
          <w:szCs w:val="22"/>
          <w:color w:val="auto"/>
        </w:rPr>
        <w:t>TRUST COMPANY, N.A.,</w:t>
      </w:r>
    </w:p>
    <w:p>
      <w:pPr>
        <w:spacing w:after="0" w:line="1" w:lineRule="exact"/>
        <w:rPr>
          <w:sz w:val="20"/>
          <w:szCs w:val="20"/>
          <w:color w:val="auto"/>
        </w:rPr>
      </w:pPr>
    </w:p>
    <w:p>
      <w:pPr>
        <w:ind w:left="7040"/>
        <w:spacing w:after="0"/>
        <w:rPr>
          <w:sz w:val="20"/>
          <w:szCs w:val="20"/>
          <w:color w:val="auto"/>
        </w:rPr>
      </w:pPr>
      <w:r>
        <w:rPr>
          <w:rFonts w:ascii="Arial" w:cs="Arial" w:eastAsia="Arial" w:hAnsi="Arial"/>
          <w:sz w:val="22"/>
          <w:szCs w:val="22"/>
          <w:color w:val="auto"/>
        </w:rPr>
        <w:t>as Trustee</w:t>
      </w:r>
    </w:p>
    <w:p>
      <w:pPr>
        <w:spacing w:after="0" w:line="314"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152400</wp:posOffset>
            </wp:positionV>
            <wp:extent cx="25374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40" w:lineRule="exact"/>
        <w:rPr>
          <w:sz w:val="20"/>
          <w:szCs w:val="20"/>
          <w:color w:val="auto"/>
        </w:rPr>
      </w:pPr>
    </w:p>
    <w:p>
      <w:pPr>
        <w:ind w:left="7020"/>
        <w:spacing w:after="0"/>
        <w:rPr>
          <w:sz w:val="20"/>
          <w:szCs w:val="20"/>
          <w:color w:val="auto"/>
        </w:rPr>
      </w:pPr>
      <w:r>
        <w:rPr>
          <w:rFonts w:ascii="Arial" w:cs="Arial" w:eastAsia="Arial" w:hAnsi="Arial"/>
          <w:sz w:val="22"/>
          <w:szCs w:val="22"/>
          <w:color w:val="auto"/>
        </w:rPr>
        <w:t>Authorized Signatory</w:t>
      </w:r>
    </w:p>
    <w:p>
      <w:pPr>
        <w:spacing w:after="0" w:line="12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w:t>
      </w:r>
    </w:p>
    <w:p>
      <w:pPr>
        <w:sectPr>
          <w:pgSz w:w="11900" w:h="16838" w:orient="portrait"/>
          <w:cols w:equalWidth="0" w:num="1">
            <w:col w:w="10460"/>
          </w:cols>
          <w:pgMar w:left="440" w:top="282" w:right="99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[REVERSE OF NOTE]</w:t>
      </w:r>
    </w:p>
    <w:p>
      <w:pPr>
        <w:spacing w:after="0" w:line="232" w:lineRule="exact"/>
        <w:rPr>
          <w:sz w:val="20"/>
          <w:szCs w:val="20"/>
          <w:color w:val="auto"/>
        </w:rPr>
      </w:pPr>
    </w:p>
    <w:p>
      <w:pPr>
        <w:ind w:right="20" w:firstLine="881"/>
        <w:spacing w:after="0" w:line="231" w:lineRule="auto"/>
        <w:rPr>
          <w:sz w:val="20"/>
          <w:szCs w:val="20"/>
          <w:color w:val="auto"/>
        </w:rPr>
      </w:pPr>
      <w:r>
        <w:rPr>
          <w:rFonts w:ascii="Arial" w:cs="Arial" w:eastAsia="Arial" w:hAnsi="Arial"/>
          <w:sz w:val="22"/>
          <w:szCs w:val="22"/>
          <w:color w:val="auto"/>
        </w:rPr>
        <w:t>This Note is one of a duly authorized issue of securities of the Company (herein called the “</w:t>
      </w:r>
      <w:r>
        <w:rPr>
          <w:rFonts w:ascii="Arial" w:cs="Arial" w:eastAsia="Arial" w:hAnsi="Arial"/>
          <w:sz w:val="22"/>
          <w:szCs w:val="22"/>
          <w:u w:val="single" w:color="auto"/>
          <w:color w:val="auto"/>
        </w:rPr>
        <w:t>Notes</w:t>
      </w:r>
      <w:r>
        <w:rPr>
          <w:rFonts w:ascii="Arial" w:cs="Arial" w:eastAsia="Arial" w:hAnsi="Arial"/>
          <w:sz w:val="22"/>
          <w:szCs w:val="22"/>
          <w:color w:val="auto"/>
        </w:rPr>
        <w:t>”), issued under an Indenture, dated as of May 18, 2009, between the Company and The Bank of New York Mellon Trust Company, N.A., as trustee, and a fourteenth supplemental indenture relating to such series dated as of March 17, 2021 (herein, collectively called the “</w:t>
      </w:r>
      <w:r>
        <w:rPr>
          <w:rFonts w:ascii="Arial" w:cs="Arial" w:eastAsia="Arial" w:hAnsi="Arial"/>
          <w:sz w:val="22"/>
          <w:szCs w:val="22"/>
          <w:u w:val="single" w:color="auto"/>
          <w:color w:val="auto"/>
        </w:rPr>
        <w:t>Indenture</w:t>
      </w:r>
      <w:r>
        <w:rPr>
          <w:rFonts w:ascii="Arial" w:cs="Arial" w:eastAsia="Arial" w:hAnsi="Arial"/>
          <w:sz w:val="22"/>
          <w:szCs w:val="22"/>
          <w:color w:val="auto"/>
        </w:rPr>
        <w:t>,” which term shall have the meaning assigned to it in such instrument), between the Company and The Bank of New York Mellon Trust Company, N.A., as Trustee (herein called the “</w:t>
      </w:r>
      <w:r>
        <w:rPr>
          <w:rFonts w:ascii="Arial" w:cs="Arial" w:eastAsia="Arial" w:hAnsi="Arial"/>
          <w:sz w:val="22"/>
          <w:szCs w:val="22"/>
          <w:u w:val="single" w:color="auto"/>
          <w:color w:val="auto"/>
        </w:rPr>
        <w:t>Trustee</w:t>
      </w:r>
      <w:r>
        <w:rPr>
          <w:rFonts w:ascii="Arial" w:cs="Arial" w:eastAsia="Arial" w:hAnsi="Arial"/>
          <w:sz w:val="22"/>
          <w:szCs w:val="22"/>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Notes are, and are to be, authenticated and delivered. This Note is one of the series designated on the face hereof, such series initially limited in aggregate principal amount to $1,934,966,000;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may at any time and from time to time, without the consent of any Holder, issue additional Notes of this series.</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Notes of this series are not redeemable at the option of the Holders.</w:t>
      </w:r>
    </w:p>
    <w:p>
      <w:pPr>
        <w:spacing w:after="0" w:line="206" w:lineRule="exact"/>
        <w:rPr>
          <w:sz w:val="20"/>
          <w:szCs w:val="20"/>
          <w:color w:val="auto"/>
        </w:rPr>
      </w:pPr>
    </w:p>
    <w:p>
      <w:pPr>
        <w:ind w:firstLine="881"/>
        <w:spacing w:after="0" w:line="244" w:lineRule="auto"/>
        <w:rPr>
          <w:sz w:val="20"/>
          <w:szCs w:val="20"/>
          <w:color w:val="auto"/>
        </w:rPr>
      </w:pPr>
      <w:r>
        <w:rPr>
          <w:rFonts w:ascii="Arial" w:cs="Arial" w:eastAsia="Arial" w:hAnsi="Arial"/>
          <w:sz w:val="21"/>
          <w:szCs w:val="21"/>
          <w:color w:val="auto"/>
        </w:rPr>
        <w:t>At any time prior to September 17, 2061, the Notes shall be redeemable in whole or in part, at any time or from time to time, at the Company’s option, on at least 10 days’ but not more than 60 days’ prior notice mailed to the registered address of each Holder of Notes to be redeemed, at a redemption price (the “</w:t>
      </w:r>
      <w:r>
        <w:rPr>
          <w:rFonts w:ascii="Arial" w:cs="Arial" w:eastAsia="Arial" w:hAnsi="Arial"/>
          <w:sz w:val="21"/>
          <w:szCs w:val="21"/>
          <w:u w:val="single" w:color="auto"/>
          <w:color w:val="auto"/>
        </w:rPr>
        <w:t>Make-Whole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Redemption Price</w:t>
      </w:r>
      <w:r>
        <w:rPr>
          <w:rFonts w:ascii="Arial" w:cs="Arial" w:eastAsia="Arial" w:hAnsi="Arial"/>
          <w:sz w:val="21"/>
          <w:szCs w:val="21"/>
          <w:color w:val="auto"/>
        </w:rPr>
        <w:t>”), calculated by the Company, equal to the greater of (1) 100% of the principal amount of the Notes to be redeemed and (2) the sum of the present values of each remaining scheduled payment of principal and interest on the Notes to be redeemed (assuming for such purposes that the Notes mature on September 17, 2061) (exclusive of interest accrued to the Redemption Date) discounted to the Redemption Date on a semiannual basis (assuming a 360-day year consisting of twelve 30-day months) at the Treasury Rate plus 12.5 basis points.</w:t>
      </w:r>
    </w:p>
    <w:p>
      <w:pPr>
        <w:spacing w:after="0" w:line="196" w:lineRule="exact"/>
        <w:rPr>
          <w:sz w:val="20"/>
          <w:szCs w:val="20"/>
          <w:color w:val="auto"/>
        </w:rPr>
      </w:pPr>
    </w:p>
    <w:p>
      <w:pPr>
        <w:ind w:right="20" w:firstLine="881"/>
        <w:spacing w:after="0" w:line="233" w:lineRule="auto"/>
        <w:rPr>
          <w:sz w:val="20"/>
          <w:szCs w:val="20"/>
          <w:color w:val="auto"/>
        </w:rPr>
      </w:pPr>
      <w:r>
        <w:rPr>
          <w:rFonts w:ascii="Arial" w:cs="Arial" w:eastAsia="Arial" w:hAnsi="Arial"/>
          <w:sz w:val="22"/>
          <w:szCs w:val="22"/>
          <w:color w:val="auto"/>
        </w:rPr>
        <w:t>At any time on or after September 17, 2061, the Notes shall be redeemable in whole or in part, at any time, at the Company’s option, on at least 10 days’ but not more than 60 days’ prior notice mailed to the registered address of each Holder of Notes to be redeemed, at a redemption price (the “</w:t>
      </w:r>
      <w:r>
        <w:rPr>
          <w:rFonts w:ascii="Arial" w:cs="Arial" w:eastAsia="Arial" w:hAnsi="Arial"/>
          <w:sz w:val="22"/>
          <w:szCs w:val="22"/>
          <w:u w:val="single" w:color="auto"/>
          <w:color w:val="auto"/>
        </w:rPr>
        <w:t>Final Redemption Price</w:t>
      </w:r>
      <w:r>
        <w:rPr>
          <w:rFonts w:ascii="Arial" w:cs="Arial" w:eastAsia="Arial" w:hAnsi="Arial"/>
          <w:sz w:val="22"/>
          <w:szCs w:val="22"/>
          <w:color w:val="auto"/>
        </w:rPr>
        <w:t>” and, together with the Make-Whole Redemption Price, the “</w:t>
      </w:r>
      <w:r>
        <w:rPr>
          <w:rFonts w:ascii="Arial" w:cs="Arial" w:eastAsia="Arial" w:hAnsi="Arial"/>
          <w:sz w:val="22"/>
          <w:szCs w:val="22"/>
          <w:u w:val="single" w:color="auto"/>
          <w:color w:val="auto"/>
        </w:rPr>
        <w:t>Redemption Price</w:t>
      </w:r>
      <w:r>
        <w:rPr>
          <w:rFonts w:ascii="Arial" w:cs="Arial" w:eastAsia="Arial" w:hAnsi="Arial"/>
          <w:sz w:val="22"/>
          <w:szCs w:val="22"/>
          <w:color w:val="auto"/>
        </w:rPr>
        <w:t>”) equal to 100% of the principal amount of the Notes to be redeemed.</w:t>
      </w:r>
    </w:p>
    <w:p>
      <w:pPr>
        <w:spacing w:after="0" w:line="203" w:lineRule="exact"/>
        <w:rPr>
          <w:sz w:val="20"/>
          <w:szCs w:val="20"/>
          <w:color w:val="auto"/>
        </w:rPr>
      </w:pPr>
    </w:p>
    <w:p>
      <w:pPr>
        <w:ind w:right="300" w:firstLine="881"/>
        <w:spacing w:after="0" w:line="238" w:lineRule="auto"/>
        <w:rPr>
          <w:sz w:val="20"/>
          <w:szCs w:val="20"/>
          <w:color w:val="auto"/>
        </w:rPr>
      </w:pPr>
      <w:r>
        <w:rPr>
          <w:rFonts w:ascii="Arial" w:cs="Arial" w:eastAsia="Arial" w:hAnsi="Arial"/>
          <w:sz w:val="22"/>
          <w:szCs w:val="22"/>
          <w:color w:val="auto"/>
        </w:rPr>
        <w:t>The Redemption Price for any Notes redeemed pursuant to the two preceding paragraphs shall include accrued and unpaid interest on the principal amount of such Notes to the Redemption Date.</w:t>
      </w:r>
    </w:p>
    <w:p>
      <w:pPr>
        <w:spacing w:after="0" w:line="200" w:lineRule="exact"/>
        <w:rPr>
          <w:sz w:val="20"/>
          <w:szCs w:val="20"/>
          <w:color w:val="auto"/>
        </w:rPr>
      </w:pPr>
    </w:p>
    <w:p>
      <w:pPr>
        <w:ind w:right="800" w:firstLine="881"/>
        <w:spacing w:after="0" w:line="238" w:lineRule="auto"/>
        <w:rPr>
          <w:sz w:val="20"/>
          <w:szCs w:val="20"/>
          <w:color w:val="auto"/>
        </w:rPr>
      </w:pPr>
      <w:r>
        <w:rPr>
          <w:rFonts w:ascii="Arial" w:cs="Arial" w:eastAsia="Arial" w:hAnsi="Arial"/>
          <w:sz w:val="22"/>
          <w:szCs w:val="22"/>
          <w:color w:val="auto"/>
        </w:rPr>
        <w:t>For purposes of calculating the Make-Whole Redemption Price, the following terms shall have the following specified meanings:</w:t>
      </w:r>
    </w:p>
    <w:p>
      <w:pPr>
        <w:spacing w:after="0" w:line="200" w:lineRule="exact"/>
        <w:rPr>
          <w:sz w:val="20"/>
          <w:szCs w:val="20"/>
          <w:color w:val="auto"/>
        </w:rPr>
      </w:pPr>
    </w:p>
    <w:p>
      <w:pPr>
        <w:ind w:right="220" w:firstLine="881"/>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Comparable Treasury Issue</w:t>
      </w:r>
      <w:r>
        <w:rPr>
          <w:rFonts w:ascii="Arial" w:cs="Arial" w:eastAsia="Arial" w:hAnsi="Arial"/>
          <w:sz w:val="22"/>
          <w:szCs w:val="22"/>
          <w:color w:val="auto"/>
        </w:rPr>
        <w:t>” means the United States Treasury security or securities selected by an Independent Investment Banker as having an actual or interpolated maturity comparable to the remaining term of the Notes that would be utilized, at the time of selection and in accordance with customary financial practice, in pricing new issues of corporate debt securities of a comparable maturity to the remaining term of the Notes (assuming for such purposes that the Notes mature on September 17, 2061).</w:t>
      </w:r>
    </w:p>
    <w:p>
      <w:pPr>
        <w:sectPr>
          <w:pgSz w:w="11900" w:h="16838" w:orient="portrait"/>
          <w:cols w:equalWidth="0" w:num="1">
            <w:col w:w="11000"/>
          </w:cols>
          <w:pgMar w:left="440" w:top="256" w:right="459" w:bottom="1440" w:gutter="0" w:footer="0" w:header="0"/>
        </w:sectPr>
      </w:pPr>
    </w:p>
    <w:bookmarkStart w:id="28" w:name="page29"/>
    <w:bookmarkEnd w:id="28"/>
    <w:p>
      <w:pPr>
        <w:ind w:right="80" w:firstLine="881"/>
        <w:spacing w:after="0" w:line="234"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22"/>
          <w:szCs w:val="22"/>
          <w:u w:val="single" w:color="auto"/>
          <w:color w:val="auto"/>
        </w:rPr>
        <w:t>Comparable Treasury Price</w:t>
      </w:r>
      <w:r>
        <w:rPr>
          <w:rFonts w:ascii="Arial" w:cs="Arial" w:eastAsia="Arial" w:hAnsi="Arial"/>
          <w:sz w:val="22"/>
          <w:szCs w:val="22"/>
          <w:color w:val="auto"/>
        </w:rPr>
        <w:t>” means, with respect to any Redemption Date (A) the arithmetic average of the Reference Treasury Dealer Quotations for such Redemption Date, after excluding the highest and lowest such Reference Treasury Dealer Quotations or (B) if the Company obtains fewer than four such Reference Treasury Dealer Quotations, the arithmetic average of all such quotations for such Redemption Date.</w:t>
      </w:r>
    </w:p>
    <w:p>
      <w:pPr>
        <w:spacing w:after="0" w:line="201" w:lineRule="exact"/>
        <w:rPr>
          <w:sz w:val="20"/>
          <w:szCs w:val="20"/>
          <w:color w:val="auto"/>
        </w:rPr>
      </w:pPr>
    </w:p>
    <w:p>
      <w:pPr>
        <w:ind w:right="720" w:firstLine="88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Investment Banker</w:t>
      </w:r>
      <w:r>
        <w:rPr>
          <w:rFonts w:ascii="Arial" w:cs="Arial" w:eastAsia="Arial" w:hAnsi="Arial"/>
          <w:sz w:val="22"/>
          <w:szCs w:val="22"/>
          <w:color w:val="auto"/>
        </w:rPr>
        <w:t>” means one of the Reference Treasury Dealers appointed by the Company.</w:t>
      </w:r>
    </w:p>
    <w:p>
      <w:pPr>
        <w:spacing w:after="0" w:line="200" w:lineRule="exact"/>
        <w:rPr>
          <w:sz w:val="20"/>
          <w:szCs w:val="20"/>
          <w:color w:val="auto"/>
        </w:rPr>
      </w:pPr>
    </w:p>
    <w:p>
      <w:pPr>
        <w:ind w:right="120" w:firstLine="881"/>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Treasury Dealer</w:t>
      </w:r>
      <w:r>
        <w:rPr>
          <w:rFonts w:ascii="Arial" w:cs="Arial" w:eastAsia="Arial" w:hAnsi="Arial"/>
          <w:sz w:val="22"/>
          <w:szCs w:val="22"/>
          <w:color w:val="auto"/>
        </w:rPr>
        <w:t xml:space="preserve">” means Morgan Stanley &amp; Co. LLC and Wells Fargo Securities, LLC or their respective affiliates, which are primary U.S. government securities dealers in the United States of America and their respective successors plus two other primary U.S. government securities dealers in the United States of America designated by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any of the foregoing shall cease to be a primary U.S. government securities dealer in the United States of America (a “</w:t>
      </w:r>
      <w:r>
        <w:rPr>
          <w:rFonts w:ascii="Arial" w:cs="Arial" w:eastAsia="Arial" w:hAnsi="Arial"/>
          <w:sz w:val="22"/>
          <w:szCs w:val="22"/>
          <w:u w:val="single" w:color="auto"/>
          <w:color w:val="auto"/>
        </w:rPr>
        <w:t>Primary Treasury Dealer</w:t>
      </w:r>
      <w:r>
        <w:rPr>
          <w:rFonts w:ascii="Arial" w:cs="Arial" w:eastAsia="Arial" w:hAnsi="Arial"/>
          <w:sz w:val="22"/>
          <w:szCs w:val="22"/>
          <w:color w:val="auto"/>
        </w:rPr>
        <w:t>”), the Company shall substitute therefor another Primary Treasury Dealer.</w:t>
      </w:r>
    </w:p>
    <w:p>
      <w:pPr>
        <w:spacing w:after="0" w:line="200" w:lineRule="exact"/>
        <w:rPr>
          <w:sz w:val="20"/>
          <w:szCs w:val="20"/>
          <w:color w:val="auto"/>
        </w:rPr>
      </w:pPr>
    </w:p>
    <w:p>
      <w:pPr>
        <w:ind w:firstLine="881"/>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Treasury Dealer Quotation</w:t>
      </w:r>
      <w:r>
        <w:rPr>
          <w:rFonts w:ascii="Arial" w:cs="Arial" w:eastAsia="Arial" w:hAnsi="Arial"/>
          <w:sz w:val="22"/>
          <w:szCs w:val="22"/>
          <w:color w:val="auto"/>
        </w:rPr>
        <w:t>” means, with respect to each Reference Treasury Dealer and any Redemption Date, the arithmetic average, as determined by the Company, of the bid and asked prices for the applicable Comparable Treasury Issue (expressed in each case as a percentage of its principal amount) quoted in writing to the Company by such Reference Treasury Dealer at 3:30 p.m. (New York City time) on the third Business Day preceding such Redemption Date.</w:t>
      </w:r>
    </w:p>
    <w:p>
      <w:pPr>
        <w:spacing w:after="0" w:line="203" w:lineRule="exact"/>
        <w:rPr>
          <w:sz w:val="20"/>
          <w:szCs w:val="20"/>
          <w:color w:val="auto"/>
        </w:rPr>
      </w:pPr>
    </w:p>
    <w:p>
      <w:pPr>
        <w:ind w:right="40" w:firstLine="881"/>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Rate</w:t>
      </w:r>
      <w:r>
        <w:rPr>
          <w:rFonts w:ascii="Arial" w:cs="Arial" w:eastAsia="Arial" w:hAnsi="Arial"/>
          <w:sz w:val="22"/>
          <w:szCs w:val="22"/>
          <w:color w:val="auto"/>
        </w:rPr>
        <w:t>” means, with respect to any Redemption Date, the rate per annum equal to the semiannual equivalent yield to maturity or interpolated maturity (on a day count basis) of the applicable Comparable Treasury Issue, assuming a price for such Comparable Treasury Issue (expressed as a percentage of its principal amount) equal to the applicable Comparable Treasury Price for such Redemption Date.</w:t>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provisions of Article XI of the Indenture shall apply to any redemption of the Notes.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Notes of this series are not entitled to the benefit of any sinking fund.</w:t>
      </w:r>
    </w:p>
    <w:p>
      <w:pPr>
        <w:spacing w:after="0" w:line="206" w:lineRule="exact"/>
        <w:rPr>
          <w:sz w:val="20"/>
          <w:szCs w:val="20"/>
          <w:color w:val="auto"/>
        </w:rPr>
      </w:pPr>
    </w:p>
    <w:p>
      <w:pPr>
        <w:ind w:right="220" w:firstLine="881"/>
        <w:spacing w:after="0" w:line="235" w:lineRule="auto"/>
        <w:rPr>
          <w:sz w:val="20"/>
          <w:szCs w:val="20"/>
          <w:color w:val="auto"/>
        </w:rPr>
      </w:pPr>
      <w:r>
        <w:rPr>
          <w:rFonts w:ascii="Arial" w:cs="Arial" w:eastAsia="Arial" w:hAnsi="Arial"/>
          <w:sz w:val="22"/>
          <w:szCs w:val="22"/>
          <w:color w:val="auto"/>
        </w:rPr>
        <w:t>The Indenture contains provisions for defeasance at any time of the entire indebtedness of the Notes of this series or certain restrictive covenants and Events of Default with respect to such Notes, in each case upon compliance with certain conditions set forth in the Indenture.</w:t>
      </w:r>
    </w:p>
    <w:p>
      <w:pPr>
        <w:spacing w:after="0" w:line="202" w:lineRule="exact"/>
        <w:rPr>
          <w:sz w:val="20"/>
          <w:szCs w:val="20"/>
          <w:color w:val="auto"/>
        </w:rPr>
      </w:pPr>
    </w:p>
    <w:p>
      <w:pPr>
        <w:ind w:right="340" w:firstLine="881"/>
        <w:spacing w:after="0" w:line="235" w:lineRule="auto"/>
        <w:rPr>
          <w:sz w:val="20"/>
          <w:szCs w:val="20"/>
          <w:color w:val="auto"/>
        </w:rPr>
      </w:pPr>
      <w:r>
        <w:rPr>
          <w:rFonts w:ascii="Arial" w:cs="Arial" w:eastAsia="Arial" w:hAnsi="Arial"/>
          <w:sz w:val="22"/>
          <w:szCs w:val="22"/>
          <w:color w:val="auto"/>
        </w:rPr>
        <w:t>If an Event of Default with respect to Notes of this series shall occur and be continuing, the principal of such Notes may be declared, or shall immediately become, due and payable in the manner and with the effect provided in the Indenture.</w:t>
      </w:r>
    </w:p>
    <w:p>
      <w:pPr>
        <w:sectPr>
          <w:pgSz w:w="11900" w:h="16838" w:orient="portrait"/>
          <w:cols w:equalWidth="0" w:num="1">
            <w:col w:w="10960"/>
          </w:cols>
          <w:pgMar w:left="440" w:top="282" w:right="499" w:bottom="1440" w:gutter="0" w:footer="0" w:header="0"/>
        </w:sectPr>
      </w:pPr>
    </w:p>
    <w:bookmarkStart w:id="29" w:name="page30"/>
    <w:bookmarkEnd w:id="29"/>
    <w:p>
      <w:pPr>
        <w:ind w:firstLine="881"/>
        <w:spacing w:after="0" w:line="23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Notes of each series to be affected under the Indenture at any time by the Company and the Trustee with the consent of the Holders of a majority in aggregate principal amount of the Notes at the time Outstanding of each series to be affected. The Indenture also contains provisions permitting the Holders of specified percentages in aggregate principal amount of the Notes of each series at the time Outstanding, on behalf of the Holders of all Notes of such series, to waive compliance by the Company with certain provisions of the Indenture and certain past defaults under the Indenture and their consequences. Any such consent or waiver by the Holders of Notes of this series shall be conclusive and binding upon such Holders and upon all future Holders of this Note and of any Note issued upon the registration of transfer hereof or in exchange herefor or in lieu hereof, whether or not notation of such consent or waiver is made upon this Note.</w:t>
      </w:r>
    </w:p>
    <w:p>
      <w:pPr>
        <w:spacing w:after="0" w:line="211" w:lineRule="exact"/>
        <w:rPr>
          <w:sz w:val="20"/>
          <w:szCs w:val="20"/>
          <w:color w:val="auto"/>
        </w:rPr>
      </w:pPr>
    </w:p>
    <w:p>
      <w:pPr>
        <w:ind w:right="20" w:firstLine="881"/>
        <w:spacing w:after="0" w:line="243" w:lineRule="auto"/>
        <w:rPr>
          <w:sz w:val="20"/>
          <w:szCs w:val="20"/>
          <w:color w:val="auto"/>
        </w:rPr>
      </w:pPr>
      <w:r>
        <w:rPr>
          <w:rFonts w:ascii="Arial" w:cs="Arial" w:eastAsia="Arial" w:hAnsi="Arial"/>
          <w:sz w:val="21"/>
          <w:szCs w:val="21"/>
          <w:color w:val="auto"/>
        </w:rPr>
        <w:t>As provided in and subject to the provisions of the Indenture, the Holders of the Notes of this series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of this series, the Holders of not less than 25% in aggregate principal amount of the Notes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aggregate principal amount of such Notes at the time Outstanding a direction inconsistent with such request, and shall have failed to institute any such proceeding, for 60 days after receipt of such notice, request and offer of indemnity. The foregoing shall not apply to any suit instituted by the Holder of this Note for the enforcement of any payment of principal hereof or any premium or interest hereon on or after the respective due dates expressed herein.</w:t>
      </w:r>
    </w:p>
    <w:p>
      <w:pPr>
        <w:spacing w:after="0" w:line="200" w:lineRule="exact"/>
        <w:rPr>
          <w:sz w:val="20"/>
          <w:szCs w:val="20"/>
          <w:color w:val="auto"/>
        </w:rPr>
      </w:pPr>
    </w:p>
    <w:p>
      <w:pPr>
        <w:ind w:right="140" w:firstLine="881"/>
        <w:spacing w:after="0" w:line="235"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any premium and interest on this Note at the times, place and rate, and in the coin or currency, herein prescribed.</w:t>
      </w:r>
    </w:p>
    <w:p>
      <w:pPr>
        <w:spacing w:after="0" w:line="202" w:lineRule="exact"/>
        <w:rPr>
          <w:sz w:val="20"/>
          <w:szCs w:val="20"/>
          <w:color w:val="auto"/>
        </w:rPr>
      </w:pPr>
    </w:p>
    <w:p>
      <w:pPr>
        <w:ind w:right="40" w:firstLine="881"/>
        <w:spacing w:after="0" w:line="232" w:lineRule="auto"/>
        <w:rPr>
          <w:sz w:val="20"/>
          <w:szCs w:val="20"/>
          <w:color w:val="auto"/>
        </w:rPr>
      </w:pPr>
      <w:r>
        <w:rPr>
          <w:rFonts w:ascii="Arial" w:cs="Arial" w:eastAsia="Arial" w:hAnsi="Arial"/>
          <w:sz w:val="22"/>
          <w:szCs w:val="22"/>
          <w:color w:val="auto"/>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any premium and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of this series and of like tenor, of authorized denominations and for the same aggregate principal amount, will be issued to the designated transferee or transferees.</w:t>
      </w:r>
    </w:p>
    <w:p>
      <w:pPr>
        <w:spacing w:after="0" w:line="205" w:lineRule="exact"/>
        <w:rPr>
          <w:sz w:val="20"/>
          <w:szCs w:val="20"/>
          <w:color w:val="auto"/>
        </w:rPr>
      </w:pPr>
    </w:p>
    <w:p>
      <w:pPr>
        <w:ind w:right="60" w:firstLine="881"/>
        <w:spacing w:after="0" w:line="247" w:lineRule="auto"/>
        <w:rPr>
          <w:sz w:val="20"/>
          <w:szCs w:val="20"/>
          <w:color w:val="auto"/>
        </w:rPr>
      </w:pPr>
      <w:r>
        <w:rPr>
          <w:rFonts w:ascii="Arial" w:cs="Arial" w:eastAsia="Arial" w:hAnsi="Arial"/>
          <w:sz w:val="21"/>
          <w:szCs w:val="21"/>
          <w:color w:val="auto"/>
        </w:rPr>
        <w:t>The Notes of this series are issuable only in registered form without coupons in denominations of $2,000 and integral multiples of $1,000 in excess thereof. As provided in the Indenture and subject to certain limitations therein set forth, Notes of this series are exchangeable for a like principal amount of Notes of this series and of like tenor of a different authorized denomination, as requested by the Holder surrendering the same.</w:t>
      </w:r>
    </w:p>
    <w:p>
      <w:pPr>
        <w:sectPr>
          <w:pgSz w:w="11900" w:h="16838" w:orient="portrait"/>
          <w:cols w:equalWidth="0" w:num="1">
            <w:col w:w="11000"/>
          </w:cols>
          <w:pgMar w:left="440" w:top="282" w:right="459" w:bottom="1440" w:gutter="0" w:footer="0" w:header="0"/>
        </w:sectPr>
      </w:pPr>
    </w:p>
    <w:bookmarkStart w:id="30" w:name="page31"/>
    <w:bookmarkEnd w:id="30"/>
    <w:p>
      <w:pPr>
        <w:jc w:val="both"/>
        <w:ind w:right="20" w:firstLine="881"/>
        <w:spacing w:after="0" w:line="25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service charge shall be made for any such registration of transfer or exchange, but the Company may require payment of a sum sufficient to cover any tax or other governmental charge payable in connection therewith.</w:t>
      </w:r>
    </w:p>
    <w:p>
      <w:pPr>
        <w:spacing w:after="0" w:line="181" w:lineRule="exact"/>
        <w:rPr>
          <w:sz w:val="20"/>
          <w:szCs w:val="20"/>
          <w:color w:val="auto"/>
        </w:rPr>
      </w:pPr>
    </w:p>
    <w:p>
      <w:pPr>
        <w:jc w:val="both"/>
        <w:ind w:right="80" w:firstLine="881"/>
        <w:spacing w:after="0" w:line="234" w:lineRule="auto"/>
        <w:rPr>
          <w:sz w:val="20"/>
          <w:szCs w:val="20"/>
          <w:color w:val="auto"/>
        </w:rPr>
      </w:pPr>
      <w:r>
        <w:rPr>
          <w:rFonts w:ascii="Arial" w:cs="Arial" w:eastAsia="Arial" w:hAnsi="Arial"/>
          <w:sz w:val="22"/>
          <w:szCs w:val="22"/>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1" w:lineRule="exact"/>
        <w:rPr>
          <w:sz w:val="20"/>
          <w:szCs w:val="20"/>
          <w:color w:val="auto"/>
        </w:rPr>
      </w:pPr>
    </w:p>
    <w:p>
      <w:pPr>
        <w:ind w:right="820" w:firstLine="881"/>
        <w:spacing w:after="0" w:line="259" w:lineRule="auto"/>
        <w:rPr>
          <w:sz w:val="20"/>
          <w:szCs w:val="20"/>
          <w:color w:val="auto"/>
        </w:rPr>
      </w:pPr>
      <w:r>
        <w:rPr>
          <w:rFonts w:ascii="Arial" w:cs="Arial" w:eastAsia="Arial" w:hAnsi="Arial"/>
          <w:sz w:val="21"/>
          <w:szCs w:val="21"/>
          <w:color w:val="auto"/>
        </w:rPr>
        <w:t>This Note is a Global Security and is subject to the provisions of the Indenture relating to Global Securities, including the limitations in Section 305 thereof on transfers and exchanges of Global Securities.</w:t>
      </w:r>
    </w:p>
    <w:p>
      <w:pPr>
        <w:spacing w:after="0" w:line="181" w:lineRule="exact"/>
        <w:rPr>
          <w:sz w:val="20"/>
          <w:szCs w:val="20"/>
          <w:color w:val="auto"/>
        </w:rPr>
      </w:pPr>
    </w:p>
    <w:p>
      <w:pPr>
        <w:ind w:firstLine="881"/>
        <w:spacing w:after="0" w:line="238" w:lineRule="auto"/>
        <w:rPr>
          <w:sz w:val="20"/>
          <w:szCs w:val="20"/>
          <w:color w:val="auto"/>
        </w:rPr>
      </w:pPr>
      <w:r>
        <w:rPr>
          <w:rFonts w:ascii="Arial" w:cs="Arial" w:eastAsia="Arial" w:hAnsi="Arial"/>
          <w:sz w:val="22"/>
          <w:szCs w:val="22"/>
          <w:color w:val="auto"/>
        </w:rPr>
        <w:t>This Note and the Indenture shall be governed by, and construed in accordance with, the laws of the State of New York.</w:t>
      </w:r>
    </w:p>
    <w:p>
      <w:pPr>
        <w:spacing w:after="0" w:line="200" w:lineRule="exact"/>
        <w:rPr>
          <w:sz w:val="20"/>
          <w:szCs w:val="20"/>
          <w:color w:val="auto"/>
        </w:rPr>
      </w:pPr>
    </w:p>
    <w:p>
      <w:pPr>
        <w:ind w:right="200" w:firstLine="881"/>
        <w:spacing w:after="0" w:line="238" w:lineRule="auto"/>
        <w:rPr>
          <w:sz w:val="20"/>
          <w:szCs w:val="20"/>
          <w:color w:val="auto"/>
        </w:rPr>
      </w:pPr>
      <w:r>
        <w:rPr>
          <w:rFonts w:ascii="Arial" w:cs="Arial" w:eastAsia="Arial" w:hAnsi="Arial"/>
          <w:sz w:val="22"/>
          <w:szCs w:val="22"/>
          <w:color w:val="auto"/>
        </w:rPr>
        <w:t>All terms used in this Note which are defined in the Indenture shall have the meanings assigned to them in the Indenture.</w:t>
      </w:r>
    </w:p>
    <w:p>
      <w:pPr>
        <w:sectPr>
          <w:pgSz w:w="11900" w:h="16838" w:orient="portrait"/>
          <w:cols w:equalWidth="0" w:num="1">
            <w:col w:w="11000"/>
          </w:cols>
          <w:pgMar w:left="440" w:top="282" w:right="4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99.1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Microsoft announces expiration of its exchange offers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March 16, 2021</w:t>
      </w:r>
    </w:p>
    <w:p>
      <w:pPr>
        <w:spacing w:after="0" w:line="212" w:lineRule="exact"/>
        <w:rPr>
          <w:sz w:val="20"/>
          <w:szCs w:val="20"/>
          <w:color w:val="auto"/>
        </w:rPr>
      </w:pPr>
    </w:p>
    <w:p>
      <w:pPr>
        <w:ind w:left="4" w:right="180"/>
        <w:spacing w:after="0" w:line="394" w:lineRule="auto"/>
        <w:rPr>
          <w:sz w:val="20"/>
          <w:szCs w:val="20"/>
          <w:color w:val="auto"/>
        </w:rPr>
      </w:pPr>
      <w:r>
        <w:rPr>
          <w:rFonts w:ascii="Arial" w:cs="Arial" w:eastAsia="Arial" w:hAnsi="Arial"/>
          <w:sz w:val="17"/>
          <w:szCs w:val="17"/>
          <w:b w:val="1"/>
          <w:bCs w:val="1"/>
          <w:i w:val="1"/>
          <w:iCs w:val="1"/>
          <w:color w:val="auto"/>
        </w:rPr>
        <w:t xml:space="preserve">Editor’s note – March 17, 2021 – </w:t>
      </w:r>
      <w:r>
        <w:rPr>
          <w:rFonts w:ascii="Arial" w:cs="Arial" w:eastAsia="Arial" w:hAnsi="Arial"/>
          <w:sz w:val="17"/>
          <w:szCs w:val="17"/>
          <w:i w:val="1"/>
          <w:iCs w:val="1"/>
          <w:color w:val="auto"/>
        </w:rPr>
        <w:t>The aggregate principal amount of New 2062 Notes was revised to reflect updated calculation.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REDMOND, Wash. — March 16, 2021 — </w:t>
      </w:r>
      <w:r>
        <w:rPr>
          <w:rFonts w:ascii="Arial" w:cs="Arial" w:eastAsia="Arial" w:hAnsi="Arial"/>
          <w:sz w:val="17"/>
          <w:szCs w:val="17"/>
          <w:color w:val="auto"/>
        </w:rPr>
        <w:t>Microsoft Corp. (NASDAQ: MSFT) (“Microsoft”) today announced the expiration of its offers to</w:t>
      </w:r>
    </w:p>
    <w:p>
      <w:pPr>
        <w:spacing w:after="0" w:line="1" w:lineRule="exact"/>
        <w:rPr>
          <w:sz w:val="20"/>
          <w:szCs w:val="20"/>
          <w:color w:val="auto"/>
        </w:rPr>
      </w:pPr>
    </w:p>
    <w:p>
      <w:pPr>
        <w:ind w:left="4" w:right="20" w:hanging="4"/>
        <w:spacing w:after="0" w:line="238" w:lineRule="auto"/>
        <w:tabs>
          <w:tab w:leader="none" w:pos="21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(the “Pool 1 Offer”) the fourteen series of notes described in the table below (collectively, the “Pool 1 Notes”) for a new series of Microsoft’s 2.921% Notes due March 17, 2052 (the “New 2052 Notes”) and a cash payment, as applicable, and (ii) exchange (the “Pool 2 Offer” and, together with the Pool 1 Offer, the “Exchange Offers”) the four series of notes described in the table below (collectively, the “Pool 2 Notes” and, together with the Pool 1 Notes, the “Existing Notes”) for a new series of Microsoft’s 3.041% Notes due March 17, 2062 (the “New 2062 Notes” and, together with the New 2052 Notes, the “New Notes”) and a cash payment, as applicable.</w:t>
      </w:r>
    </w:p>
    <w:p>
      <w:pPr>
        <w:spacing w:after="0" w:line="202" w:lineRule="exact"/>
        <w:rPr>
          <w:sz w:val="20"/>
          <w:szCs w:val="20"/>
          <w:color w:val="auto"/>
        </w:rPr>
      </w:pPr>
    </w:p>
    <w:p>
      <w:pPr>
        <w:ind w:left="4" w:right="260"/>
        <w:spacing w:after="0" w:line="238" w:lineRule="auto"/>
        <w:rPr>
          <w:sz w:val="20"/>
          <w:szCs w:val="20"/>
          <w:color w:val="auto"/>
        </w:rPr>
      </w:pPr>
      <w:r>
        <w:rPr>
          <w:rFonts w:ascii="Arial" w:cs="Arial" w:eastAsia="Arial" w:hAnsi="Arial"/>
          <w:sz w:val="18"/>
          <w:szCs w:val="18"/>
          <w:color w:val="auto"/>
        </w:rPr>
        <w:t>A Registration Statement on Form S-4 (File No. 333-253138), as amended by Amendment No. 1 thereto (the “Registration Statement”), relating to the issuance of the New Notes has been filed with the Securities and Exchange Commission (the “SEC”) and has become effective. The New Notes, upon issuance, will be registered under the Securities Act of 1933, as amended, pursuant to the Registration Statement.</w:t>
      </w:r>
    </w:p>
    <w:p>
      <w:pPr>
        <w:spacing w:after="0" w:line="205" w:lineRule="exact"/>
        <w:rPr>
          <w:sz w:val="20"/>
          <w:szCs w:val="20"/>
          <w:color w:val="auto"/>
        </w:rPr>
      </w:pPr>
    </w:p>
    <w:p>
      <w:pPr>
        <w:ind w:left="4" w:right="40"/>
        <w:spacing w:after="0"/>
        <w:rPr>
          <w:sz w:val="20"/>
          <w:szCs w:val="20"/>
          <w:color w:val="auto"/>
        </w:rPr>
      </w:pPr>
      <w:r>
        <w:rPr>
          <w:rFonts w:ascii="Arial" w:cs="Arial" w:eastAsia="Arial" w:hAnsi="Arial"/>
          <w:sz w:val="18"/>
          <w:szCs w:val="18"/>
          <w:color w:val="auto"/>
        </w:rPr>
        <w:t>The table below identifies the aggregate principal amount of each series of Pool 1 Notes validly tendered (and not validly withdrawn) in the Pool 1 Offer and the principal amount of each series of Pool 1 Notes, based on the order of acceptance priority for such series, that Microsoft expects to accept on the Settlement Date (as defined below):</w:t>
      </w:r>
    </w:p>
    <w:p>
      <w:pPr>
        <w:sectPr>
          <w:pgSz w:w="11900" w:h="16838" w:orient="portrait"/>
          <w:cols w:equalWidth="0" w:num="1">
            <w:col w:w="11024"/>
          </w:cols>
          <w:pgMar w:left="436" w:top="118" w:right="439" w:bottom="1440" w:gutter="0" w:footer="0" w:header="0"/>
        </w:sectPr>
      </w:pPr>
    </w:p>
    <w:bookmarkStart w:id="32" w:name="page33"/>
    <w:bookmarkEnd w:id="32"/>
    <w:p>
      <w:pPr>
        <w:jc w:val="center"/>
        <w:ind w:right="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Pool 1 Table</w:t>
      </w:r>
    </w:p>
    <w:p>
      <w:pPr>
        <w:spacing w:after="0" w:line="3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20" w:type="dxa"/>
            <w:vAlign w:val="bottom"/>
            <w:tcBorders>
              <w:top w:val="single" w:sz="8" w:color="auto"/>
            </w:tcBorders>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50"/>
              <w:spacing w:after="0" w:line="173" w:lineRule="exact"/>
              <w:rPr>
                <w:sz w:val="20"/>
                <w:szCs w:val="20"/>
                <w:color w:val="auto"/>
              </w:rPr>
            </w:pPr>
            <w:r>
              <w:rPr>
                <w:rFonts w:ascii="Arial" w:cs="Arial" w:eastAsia="Arial" w:hAnsi="Arial"/>
                <w:sz w:val="18"/>
                <w:szCs w:val="18"/>
                <w:b w:val="1"/>
                <w:bCs w:val="1"/>
                <w:color w:val="auto"/>
                <w:w w:val="99"/>
              </w:rPr>
              <w:t>Principal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Title of</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Acceptance</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Principal</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189"/>
        </w:trPr>
        <w:tc>
          <w:tcPr>
            <w:tcW w:w="3540" w:type="dxa"/>
            <w:vAlign w:val="bottom"/>
            <w:gridSpan w:val="2"/>
            <w:vMerge w:val="continue"/>
          </w:tcPr>
          <w:p>
            <w:pPr>
              <w:spacing w:after="0"/>
              <w:rPr>
                <w:sz w:val="16"/>
                <w:szCs w:val="16"/>
                <w:color w:val="auto"/>
              </w:rPr>
            </w:pPr>
          </w:p>
        </w:tc>
        <w:tc>
          <w:tcPr>
            <w:tcW w:w="126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8"/>
              </w:rPr>
              <w:t>CUSIP</w:t>
            </w:r>
          </w:p>
        </w:tc>
        <w:tc>
          <w:tcPr>
            <w:tcW w:w="1740" w:type="dxa"/>
            <w:vAlign w:val="bottom"/>
            <w:gridSpan w:val="2"/>
          </w:tcPr>
          <w:p>
            <w:pPr>
              <w:ind w:left="100"/>
              <w:spacing w:after="0" w:line="189" w:lineRule="exact"/>
              <w:rPr>
                <w:sz w:val="20"/>
                <w:szCs w:val="20"/>
                <w:color w:val="auto"/>
              </w:rPr>
            </w:pPr>
            <w:r>
              <w:rPr>
                <w:rFonts w:ascii="Arial" w:cs="Arial" w:eastAsia="Arial" w:hAnsi="Arial"/>
                <w:sz w:val="18"/>
                <w:szCs w:val="18"/>
                <w:b w:val="1"/>
                <w:bCs w:val="1"/>
                <w:color w:val="auto"/>
              </w:rPr>
              <w:t>Consideration</w:t>
            </w:r>
          </w:p>
        </w:tc>
        <w:tc>
          <w:tcPr>
            <w:tcW w:w="132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98"/>
              </w:rPr>
              <w:t>Priority</w:t>
            </w:r>
          </w:p>
        </w:tc>
        <w:tc>
          <w:tcPr>
            <w:tcW w:w="1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Amount</w:t>
            </w:r>
          </w:p>
        </w:tc>
        <w:tc>
          <w:tcPr>
            <w:tcW w:w="300" w:type="dxa"/>
            <w:vAlign w:val="bottom"/>
          </w:tcPr>
          <w:p>
            <w:pPr>
              <w:spacing w:after="0"/>
              <w:rPr>
                <w:sz w:val="16"/>
                <w:szCs w:val="16"/>
                <w:color w:val="auto"/>
              </w:rPr>
            </w:pPr>
          </w:p>
        </w:tc>
        <w:tc>
          <w:tcPr>
            <w:tcW w:w="16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Microsoft Expects</w:t>
            </w:r>
          </w:p>
        </w:tc>
        <w:tc>
          <w:tcPr>
            <w:tcW w:w="0" w:type="dxa"/>
            <w:vAlign w:val="bottom"/>
          </w:tcPr>
          <w:p>
            <w:pPr>
              <w:spacing w:after="0"/>
              <w:rPr>
                <w:sz w:val="1"/>
                <w:szCs w:val="1"/>
                <w:color w:val="auto"/>
              </w:rPr>
            </w:pPr>
          </w:p>
        </w:tc>
      </w:tr>
      <w:tr>
        <w:trPr>
          <w:trHeight w:val="245"/>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Security</w:t>
            </w:r>
          </w:p>
        </w:tc>
        <w:tc>
          <w:tcPr>
            <w:tcW w:w="2820" w:type="dxa"/>
            <w:vAlign w:val="bottom"/>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Number</w:t>
            </w: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Exchanged for</w:t>
            </w: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Level</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Tendered</w:t>
            </w:r>
            <w:r>
              <w:rPr>
                <w:rFonts w:ascii="Arial" w:cs="Arial" w:eastAsia="Arial" w:hAnsi="Arial"/>
                <w:sz w:val="15"/>
                <w:szCs w:val="15"/>
                <w:b w:val="1"/>
                <w:bCs w:val="1"/>
                <w:color w:val="auto"/>
              </w:rPr>
              <w:t>(1)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to Accept</w:t>
            </w:r>
          </w:p>
        </w:tc>
        <w:tc>
          <w:tcPr>
            <w:tcW w:w="0" w:type="dxa"/>
            <w:vAlign w:val="bottom"/>
          </w:tcPr>
          <w:p>
            <w:pPr>
              <w:spacing w:after="0"/>
              <w:rPr>
                <w:sz w:val="1"/>
                <w:szCs w:val="1"/>
                <w:color w:val="auto"/>
              </w:rPr>
            </w:pPr>
          </w:p>
        </w:tc>
      </w:tr>
      <w:tr>
        <w:trPr>
          <w:trHeight w:val="190"/>
        </w:trPr>
        <w:tc>
          <w:tcPr>
            <w:tcW w:w="3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4.875% Notes due 2043</w:t>
            </w:r>
          </w:p>
        </w:tc>
        <w:tc>
          <w:tcPr>
            <w:tcW w:w="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594918AX2</w:t>
            </w:r>
          </w:p>
        </w:tc>
        <w:tc>
          <w:tcPr>
            <w:tcW w:w="2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9"/>
              </w:rPr>
              <w:t>New 2052 Notes</w:t>
            </w:r>
          </w:p>
        </w:tc>
        <w:tc>
          <w:tcPr>
            <w:tcW w:w="3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w:t>
            </w:r>
          </w:p>
        </w:tc>
        <w:tc>
          <w:tcPr>
            <w:tcW w:w="3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$28,429,000</w:t>
            </w: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28,429,000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4.450% Notes due 2045</w:t>
            </w:r>
          </w:p>
        </w:tc>
        <w:tc>
          <w:tcPr>
            <w:tcW w:w="126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594918BL7</w:t>
            </w:r>
          </w:p>
        </w:tc>
        <w:tc>
          <w:tcPr>
            <w:tcW w:w="17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$291,900,000</w:t>
            </w:r>
          </w:p>
        </w:tc>
        <w:tc>
          <w:tcPr>
            <w:tcW w:w="5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291,900,000</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4.250% Notes due 2047</w:t>
            </w:r>
          </w:p>
        </w:tc>
        <w:tc>
          <w:tcPr>
            <w:tcW w:w="1260" w:type="dxa"/>
            <w:vAlign w:val="bottom"/>
            <w:gridSpan w:val="2"/>
            <w:shd w:val="clear" w:color="auto" w:fill="CCEEFF"/>
          </w:tcPr>
          <w:p>
            <w:pPr>
              <w:jc w:val="center"/>
              <w:ind w:right="280"/>
              <w:spacing w:after="0" w:line="202" w:lineRule="exact"/>
              <w:rPr>
                <w:sz w:val="20"/>
                <w:szCs w:val="20"/>
                <w:color w:val="auto"/>
              </w:rPr>
            </w:pPr>
            <w:r>
              <w:rPr>
                <w:rFonts w:ascii="Arial" w:cs="Arial" w:eastAsia="Arial" w:hAnsi="Arial"/>
                <w:sz w:val="18"/>
                <w:szCs w:val="18"/>
                <w:color w:val="auto"/>
                <w:w w:val="98"/>
              </w:rPr>
              <w:t>594918CA0</w:t>
            </w:r>
          </w:p>
        </w:tc>
        <w:tc>
          <w:tcPr>
            <w:tcW w:w="17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$496,145,000</w:t>
            </w:r>
          </w:p>
        </w:tc>
        <w:tc>
          <w:tcPr>
            <w:tcW w:w="5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496,145,000</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5.300% Notes due 2041</w:t>
            </w:r>
          </w:p>
        </w:tc>
        <w:tc>
          <w:tcPr>
            <w:tcW w:w="12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rPr>
              <w:t>594918AM6</w:t>
            </w:r>
          </w:p>
        </w:tc>
        <w:tc>
          <w:tcPr>
            <w:tcW w:w="17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$52,316,000</w:t>
            </w:r>
          </w:p>
        </w:tc>
        <w:tc>
          <w:tcPr>
            <w:tcW w:w="5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52,316,000</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5.200% Notes due 2039</w:t>
            </w:r>
          </w:p>
        </w:tc>
        <w:tc>
          <w:tcPr>
            <w:tcW w:w="1260" w:type="dxa"/>
            <w:vAlign w:val="bottom"/>
            <w:gridSpan w:val="2"/>
            <w:shd w:val="clear" w:color="auto" w:fill="CCEEFF"/>
          </w:tcPr>
          <w:p>
            <w:pPr>
              <w:jc w:val="center"/>
              <w:ind w:right="280"/>
              <w:spacing w:after="0" w:line="202" w:lineRule="exact"/>
              <w:rPr>
                <w:sz w:val="20"/>
                <w:szCs w:val="20"/>
                <w:color w:val="auto"/>
              </w:rPr>
            </w:pPr>
            <w:r>
              <w:rPr>
                <w:rFonts w:ascii="Arial" w:cs="Arial" w:eastAsia="Arial" w:hAnsi="Arial"/>
                <w:sz w:val="18"/>
                <w:szCs w:val="18"/>
                <w:color w:val="auto"/>
                <w:w w:val="98"/>
              </w:rPr>
              <w:t>594918AD6</w:t>
            </w:r>
          </w:p>
        </w:tc>
        <w:tc>
          <w:tcPr>
            <w:tcW w:w="17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$38,287,000</w:t>
            </w:r>
          </w:p>
        </w:tc>
        <w:tc>
          <w:tcPr>
            <w:tcW w:w="5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38,287,000</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4.500% Notes due 2040</w:t>
            </w:r>
          </w:p>
        </w:tc>
        <w:tc>
          <w:tcPr>
            <w:tcW w:w="12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8"/>
              </w:rPr>
              <w:t>594918AJ3</w:t>
            </w:r>
          </w:p>
        </w:tc>
        <w:tc>
          <w:tcPr>
            <w:tcW w:w="17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6</w:t>
            </w:r>
          </w:p>
        </w:tc>
        <w:tc>
          <w:tcPr>
            <w:tcW w:w="3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$85,527,000</w:t>
            </w:r>
          </w:p>
        </w:tc>
        <w:tc>
          <w:tcPr>
            <w:tcW w:w="5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85,527,000</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3.700% Notes due 2046</w:t>
            </w:r>
          </w:p>
        </w:tc>
        <w:tc>
          <w:tcPr>
            <w:tcW w:w="1260" w:type="dxa"/>
            <w:vAlign w:val="bottom"/>
            <w:gridSpan w:val="2"/>
            <w:shd w:val="clear" w:color="auto" w:fill="CCEEFF"/>
          </w:tcPr>
          <w:p>
            <w:pPr>
              <w:jc w:val="center"/>
              <w:ind w:right="280"/>
              <w:spacing w:after="0" w:line="202" w:lineRule="exact"/>
              <w:rPr>
                <w:sz w:val="20"/>
                <w:szCs w:val="20"/>
                <w:color w:val="auto"/>
              </w:rPr>
            </w:pPr>
            <w:r>
              <w:rPr>
                <w:rFonts w:ascii="Arial" w:cs="Arial" w:eastAsia="Arial" w:hAnsi="Arial"/>
                <w:sz w:val="18"/>
                <w:szCs w:val="18"/>
                <w:color w:val="auto"/>
              </w:rPr>
              <w:t>594918BT0</w:t>
            </w:r>
          </w:p>
        </w:tc>
        <w:tc>
          <w:tcPr>
            <w:tcW w:w="17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$2,752,720,000</w:t>
            </w:r>
          </w:p>
        </w:tc>
        <w:tc>
          <w:tcPr>
            <w:tcW w:w="5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2,752,720,000</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3.750% Notes due 2043</w:t>
            </w:r>
          </w:p>
        </w:tc>
        <w:tc>
          <w:tcPr>
            <w:tcW w:w="12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8"/>
              </w:rPr>
              <w:t>594918AU8</w:t>
            </w:r>
          </w:p>
        </w:tc>
        <w:tc>
          <w:tcPr>
            <w:tcW w:w="17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$75,896,000</w:t>
            </w:r>
          </w:p>
        </w:tc>
        <w:tc>
          <w:tcPr>
            <w:tcW w:w="5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75,896,000</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3.750% Notes due 2045</w:t>
            </w:r>
          </w:p>
        </w:tc>
        <w:tc>
          <w:tcPr>
            <w:tcW w:w="1260" w:type="dxa"/>
            <w:vAlign w:val="bottom"/>
            <w:gridSpan w:val="2"/>
            <w:shd w:val="clear" w:color="auto" w:fill="CCEEFF"/>
          </w:tcPr>
          <w:p>
            <w:pPr>
              <w:jc w:val="center"/>
              <w:ind w:right="280"/>
              <w:spacing w:after="0" w:line="202" w:lineRule="exact"/>
              <w:rPr>
                <w:sz w:val="20"/>
                <w:szCs w:val="20"/>
                <w:color w:val="auto"/>
              </w:rPr>
            </w:pPr>
            <w:r>
              <w:rPr>
                <w:rFonts w:ascii="Arial" w:cs="Arial" w:eastAsia="Arial" w:hAnsi="Arial"/>
                <w:sz w:val="18"/>
                <w:szCs w:val="18"/>
                <w:color w:val="auto"/>
                <w:w w:val="98"/>
              </w:rPr>
              <w:t>594918BD5</w:t>
            </w:r>
          </w:p>
        </w:tc>
        <w:tc>
          <w:tcPr>
            <w:tcW w:w="17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$141,906,000</w:t>
            </w:r>
          </w:p>
        </w:tc>
        <w:tc>
          <w:tcPr>
            <w:tcW w:w="5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141,904,000</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3.500% Notes due 2042</w:t>
            </w:r>
          </w:p>
        </w:tc>
        <w:tc>
          <w:tcPr>
            <w:tcW w:w="12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8"/>
              </w:rPr>
              <w:t>594918AR5</w:t>
            </w:r>
          </w:p>
        </w:tc>
        <w:tc>
          <w:tcPr>
            <w:tcW w:w="17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10</w:t>
            </w:r>
          </w:p>
        </w:tc>
        <w:tc>
          <w:tcPr>
            <w:tcW w:w="3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$445,898,000</w:t>
            </w:r>
          </w:p>
        </w:tc>
        <w:tc>
          <w:tcPr>
            <w:tcW w:w="5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445,898,000</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4.100% Notes due 2037</w:t>
            </w:r>
          </w:p>
        </w:tc>
        <w:tc>
          <w:tcPr>
            <w:tcW w:w="1260" w:type="dxa"/>
            <w:vAlign w:val="bottom"/>
            <w:gridSpan w:val="2"/>
            <w:shd w:val="clear" w:color="auto" w:fill="CCEEFF"/>
          </w:tcPr>
          <w:p>
            <w:pPr>
              <w:jc w:val="center"/>
              <w:ind w:right="280"/>
              <w:spacing w:after="0" w:line="202" w:lineRule="exact"/>
              <w:rPr>
                <w:sz w:val="20"/>
                <w:szCs w:val="20"/>
                <w:color w:val="auto"/>
              </w:rPr>
            </w:pPr>
            <w:r>
              <w:rPr>
                <w:rFonts w:ascii="Arial" w:cs="Arial" w:eastAsia="Arial" w:hAnsi="Arial"/>
                <w:sz w:val="18"/>
                <w:szCs w:val="18"/>
                <w:color w:val="auto"/>
              </w:rPr>
              <w:t>594918BZ6</w:t>
            </w:r>
          </w:p>
        </w:tc>
        <w:tc>
          <w:tcPr>
            <w:tcW w:w="17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$1,065,067,000</w:t>
            </w:r>
          </w:p>
        </w:tc>
        <w:tc>
          <w:tcPr>
            <w:tcW w:w="5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1,065,067,000</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4.200% Notes due 2035</w:t>
            </w:r>
          </w:p>
        </w:tc>
        <w:tc>
          <w:tcPr>
            <w:tcW w:w="12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594918BK9</w:t>
            </w:r>
          </w:p>
        </w:tc>
        <w:tc>
          <w:tcPr>
            <w:tcW w:w="17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12</w:t>
            </w:r>
          </w:p>
        </w:tc>
        <w:tc>
          <w:tcPr>
            <w:tcW w:w="3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$276,121,000</w:t>
            </w:r>
          </w:p>
        </w:tc>
        <w:tc>
          <w:tcPr>
            <w:tcW w:w="5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276,121,000</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3.450% Notes due 2036</w:t>
            </w:r>
          </w:p>
        </w:tc>
        <w:tc>
          <w:tcPr>
            <w:tcW w:w="1260" w:type="dxa"/>
            <w:vAlign w:val="bottom"/>
            <w:gridSpan w:val="2"/>
            <w:shd w:val="clear" w:color="auto" w:fill="CCEEFF"/>
          </w:tcPr>
          <w:p>
            <w:pPr>
              <w:jc w:val="center"/>
              <w:ind w:right="280"/>
              <w:spacing w:after="0" w:line="202" w:lineRule="exact"/>
              <w:rPr>
                <w:sz w:val="20"/>
                <w:szCs w:val="20"/>
                <w:color w:val="auto"/>
              </w:rPr>
            </w:pPr>
            <w:r>
              <w:rPr>
                <w:rFonts w:ascii="Arial" w:cs="Arial" w:eastAsia="Arial" w:hAnsi="Arial"/>
                <w:sz w:val="18"/>
                <w:szCs w:val="18"/>
                <w:color w:val="auto"/>
                <w:w w:val="99"/>
              </w:rPr>
              <w:t>594918BS2</w:t>
            </w:r>
          </w:p>
        </w:tc>
        <w:tc>
          <w:tcPr>
            <w:tcW w:w="17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New 2052 Notes</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13</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$956,220,000</w:t>
            </w:r>
          </w:p>
        </w:tc>
        <w:tc>
          <w:tcPr>
            <w:tcW w:w="5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500,673,000</w:t>
            </w:r>
          </w:p>
        </w:tc>
        <w:tc>
          <w:tcPr>
            <w:tcW w:w="0" w:type="dxa"/>
            <w:vAlign w:val="bottom"/>
          </w:tcPr>
          <w:p>
            <w:pPr>
              <w:spacing w:after="0"/>
              <w:rPr>
                <w:sz w:val="1"/>
                <w:szCs w:val="1"/>
                <w:color w:val="auto"/>
              </w:rPr>
            </w:pP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3.500% Notes due 2035</w:t>
            </w: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594918BC7</w:t>
            </w: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New 2052 Notes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$305,268,000</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424" w:right="100"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principal amounts of each series that have been validly tendered for exchange and not validly withdrawn, as of 11:59 p.m., New York City time, on March 15, 2021 (the “Expiration Time”), based on information provided by the exchange agent to Microsoft.</w:t>
      </w:r>
    </w:p>
    <w:p>
      <w:pPr>
        <w:spacing w:after="0" w:line="203" w:lineRule="exact"/>
        <w:rPr>
          <w:sz w:val="20"/>
          <w:szCs w:val="20"/>
          <w:color w:val="auto"/>
        </w:rPr>
      </w:pPr>
    </w:p>
    <w:p>
      <w:pPr>
        <w:ind w:left="4" w:right="40"/>
        <w:spacing w:after="0"/>
        <w:rPr>
          <w:sz w:val="20"/>
          <w:szCs w:val="20"/>
          <w:color w:val="auto"/>
        </w:rPr>
      </w:pPr>
      <w:r>
        <w:rPr>
          <w:rFonts w:ascii="Arial" w:cs="Arial" w:eastAsia="Arial" w:hAnsi="Arial"/>
          <w:sz w:val="18"/>
          <w:szCs w:val="18"/>
          <w:color w:val="auto"/>
        </w:rPr>
        <w:t>The table below identifies the aggregate principal amount of each series of Pool 2 Notes validly tendered (and not validly withdrawn) in the Pool 2 Offer and the principal amount of each series of Pool 2 Notes, based on the order of acceptance priority for such series, that Microsoft expects to accept on the Settlement Date:</w:t>
      </w:r>
    </w:p>
    <w:p>
      <w:pPr>
        <w:sectPr>
          <w:pgSz w:w="11900" w:h="16838" w:orient="portrait"/>
          <w:cols w:equalWidth="0" w:num="1">
            <w:col w:w="11024"/>
          </w:cols>
          <w:pgMar w:left="436" w:top="265" w:right="439" w:bottom="1440" w:gutter="0" w:footer="0" w:header="0"/>
        </w:sectPr>
      </w:pPr>
    </w:p>
    <w:bookmarkStart w:id="33" w:name="page34"/>
    <w:bookmarkEnd w:id="33"/>
    <w:p>
      <w:pPr>
        <w:jc w:val="center"/>
        <w:ind w:right="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Pool 2 Table</w:t>
      </w:r>
    </w:p>
    <w:p>
      <w:pPr>
        <w:spacing w:after="0" w:line="3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2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50"/>
              <w:spacing w:after="0" w:line="173" w:lineRule="exact"/>
              <w:rPr>
                <w:sz w:val="20"/>
                <w:szCs w:val="20"/>
                <w:color w:val="auto"/>
              </w:rPr>
            </w:pPr>
            <w:r>
              <w:rPr>
                <w:rFonts w:ascii="Arial" w:cs="Arial" w:eastAsia="Arial" w:hAnsi="Arial"/>
                <w:sz w:val="18"/>
                <w:szCs w:val="18"/>
                <w:b w:val="1"/>
                <w:bCs w:val="1"/>
                <w:color w:val="auto"/>
                <w:w w:val="99"/>
              </w:rPr>
              <w:t>Principal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Title of</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Acceptance</w:t>
            </w:r>
          </w:p>
        </w:tc>
        <w:tc>
          <w:tcPr>
            <w:tcW w:w="100" w:type="dxa"/>
            <w:vAlign w:val="bottom"/>
          </w:tcPr>
          <w:p>
            <w:pPr>
              <w:spacing w:after="0"/>
              <w:rPr>
                <w:sz w:val="17"/>
                <w:szCs w:val="17"/>
                <w:color w:val="auto"/>
              </w:rPr>
            </w:pPr>
          </w:p>
        </w:tc>
        <w:tc>
          <w:tcPr>
            <w:tcW w:w="13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Principal</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189"/>
        </w:trPr>
        <w:tc>
          <w:tcPr>
            <w:tcW w:w="3420" w:type="dxa"/>
            <w:vAlign w:val="bottom"/>
            <w:gridSpan w:val="2"/>
            <w:vMerge w:val="continue"/>
          </w:tcPr>
          <w:p>
            <w:pPr>
              <w:spacing w:after="0"/>
              <w:rPr>
                <w:sz w:val="16"/>
                <w:szCs w:val="16"/>
                <w:color w:val="auto"/>
              </w:rPr>
            </w:pPr>
          </w:p>
        </w:tc>
        <w:tc>
          <w:tcPr>
            <w:tcW w:w="13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rPr>
              <w:t>CUSIP</w:t>
            </w:r>
          </w:p>
        </w:tc>
        <w:tc>
          <w:tcPr>
            <w:tcW w:w="172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Consideration</w:t>
            </w:r>
          </w:p>
        </w:tc>
        <w:tc>
          <w:tcPr>
            <w:tcW w:w="13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8"/>
              </w:rPr>
              <w:t>Priority</w:t>
            </w:r>
          </w:p>
        </w:tc>
        <w:tc>
          <w:tcPr>
            <w:tcW w:w="100" w:type="dxa"/>
            <w:vAlign w:val="bottom"/>
          </w:tcPr>
          <w:p>
            <w:pPr>
              <w:spacing w:after="0"/>
              <w:rPr>
                <w:sz w:val="16"/>
                <w:szCs w:val="16"/>
                <w:color w:val="auto"/>
              </w:rPr>
            </w:pPr>
          </w:p>
        </w:tc>
        <w:tc>
          <w:tcPr>
            <w:tcW w:w="134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16"/>
                <w:szCs w:val="16"/>
                <w:color w:val="auto"/>
              </w:rPr>
            </w:pPr>
          </w:p>
        </w:tc>
        <w:tc>
          <w:tcPr>
            <w:tcW w:w="16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Microsoft Expects</w:t>
            </w:r>
          </w:p>
        </w:tc>
        <w:tc>
          <w:tcPr>
            <w:tcW w:w="0" w:type="dxa"/>
            <w:vAlign w:val="bottom"/>
          </w:tcPr>
          <w:p>
            <w:pPr>
              <w:spacing w:after="0"/>
              <w:rPr>
                <w:sz w:val="1"/>
                <w:szCs w:val="1"/>
                <w:color w:val="auto"/>
              </w:rPr>
            </w:pPr>
          </w:p>
        </w:tc>
      </w:tr>
      <w:tr>
        <w:trPr>
          <w:trHeight w:val="245"/>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Security</w:t>
            </w:r>
          </w:p>
        </w:tc>
        <w:tc>
          <w:tcPr>
            <w:tcW w:w="270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Number</w:t>
            </w: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Exchanged for</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Level</w:t>
            </w:r>
          </w:p>
        </w:tc>
        <w:tc>
          <w:tcPr>
            <w:tcW w:w="10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Tendered</w:t>
            </w:r>
            <w:r>
              <w:rPr>
                <w:rFonts w:ascii="Arial" w:cs="Arial" w:eastAsia="Arial" w:hAnsi="Arial"/>
                <w:sz w:val="15"/>
                <w:szCs w:val="15"/>
                <w:b w:val="1"/>
                <w:bCs w:val="1"/>
                <w:color w:val="auto"/>
                <w:w w:val="98"/>
              </w:rPr>
              <w:t>(1)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to Accept</w:t>
            </w:r>
          </w:p>
        </w:tc>
        <w:tc>
          <w:tcPr>
            <w:tcW w:w="0" w:type="dxa"/>
            <w:vAlign w:val="bottom"/>
          </w:tcPr>
          <w:p>
            <w:pPr>
              <w:spacing w:after="0"/>
              <w:rPr>
                <w:sz w:val="1"/>
                <w:szCs w:val="1"/>
                <w:color w:val="auto"/>
              </w:rPr>
            </w:pPr>
          </w:p>
        </w:tc>
      </w:tr>
      <w:tr>
        <w:trPr>
          <w:trHeight w:val="190"/>
        </w:trPr>
        <w:tc>
          <w:tcPr>
            <w:tcW w:w="3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3.950% Notes due 2056</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594918BU7</w:t>
            </w:r>
          </w:p>
        </w:tc>
        <w:tc>
          <w:tcPr>
            <w:tcW w:w="3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7"/>
              </w:rPr>
              <w:t>New 2062 Notes</w:t>
            </w:r>
          </w:p>
        </w:tc>
        <w:tc>
          <w:tcPr>
            <w:tcW w:w="3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1,521,258,000</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1,521,258,000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4.750% Notes due 2055</w:t>
            </w:r>
          </w:p>
        </w:tc>
        <w:tc>
          <w:tcPr>
            <w:tcW w:w="13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594918BM5</w:t>
            </w:r>
          </w:p>
        </w:tc>
        <w:tc>
          <w:tcPr>
            <w:tcW w:w="17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New 2062 Notes</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31,494,000</w:t>
            </w:r>
          </w:p>
        </w:tc>
        <w:tc>
          <w:tcPr>
            <w:tcW w:w="4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31,494,000</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4.500% Notes due 2057</w:t>
            </w:r>
          </w:p>
        </w:tc>
        <w:tc>
          <w:tcPr>
            <w:tcW w:w="13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594918CB8</w:t>
            </w:r>
          </w:p>
        </w:tc>
        <w:tc>
          <w:tcPr>
            <w:tcW w:w="17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New 2062 Notes</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128,724,000</w:t>
            </w:r>
          </w:p>
        </w:tc>
        <w:tc>
          <w:tcPr>
            <w:tcW w:w="4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128,724,000</w:t>
            </w:r>
          </w:p>
        </w:tc>
        <w:tc>
          <w:tcPr>
            <w:tcW w:w="0" w:type="dxa"/>
            <w:vAlign w:val="bottom"/>
          </w:tcPr>
          <w:p>
            <w:pPr>
              <w:spacing w:after="0"/>
              <w:rPr>
                <w:sz w:val="1"/>
                <w:szCs w:val="1"/>
                <w:color w:val="auto"/>
              </w:rPr>
            </w:pPr>
          </w:p>
        </w:tc>
      </w:tr>
      <w:tr>
        <w:trPr>
          <w:trHeight w:val="217"/>
        </w:trPr>
        <w:tc>
          <w:tcPr>
            <w:tcW w:w="3420" w:type="dxa"/>
            <w:vAlign w:val="bottom"/>
            <w:gridSpan w:val="2"/>
          </w:tcPr>
          <w:p>
            <w:pPr>
              <w:spacing w:after="0"/>
              <w:rPr>
                <w:sz w:val="20"/>
                <w:szCs w:val="20"/>
                <w:color w:val="auto"/>
              </w:rPr>
            </w:pPr>
            <w:r>
              <w:rPr>
                <w:rFonts w:ascii="Arial" w:cs="Arial" w:eastAsia="Arial" w:hAnsi="Arial"/>
                <w:sz w:val="18"/>
                <w:szCs w:val="18"/>
                <w:color w:val="auto"/>
              </w:rPr>
              <w:t>4.000% Notes due 2055</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594918BE3</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New 2062 Notes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253,354,000</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253,354,000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424" w:right="300" w:hanging="424"/>
        <w:spacing w:after="0" w:line="246"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principal amounts of each series that have been validly tendered for exchange and not validly withdrawn, as of the Expiration Time, based on information provided by the exchange agent to Microsoft.</w:t>
      </w:r>
    </w:p>
    <w:p>
      <w:pPr>
        <w:spacing w:after="0" w:line="197" w:lineRule="exact"/>
        <w:rPr>
          <w:sz w:val="20"/>
          <w:szCs w:val="20"/>
          <w:color w:val="auto"/>
        </w:rPr>
      </w:pPr>
    </w:p>
    <w:p>
      <w:pPr>
        <w:jc w:val="both"/>
        <w:ind w:left="4" w:right="180"/>
        <w:spacing w:after="0"/>
        <w:rPr>
          <w:sz w:val="20"/>
          <w:szCs w:val="20"/>
          <w:color w:val="auto"/>
        </w:rPr>
      </w:pPr>
      <w:r>
        <w:rPr>
          <w:rFonts w:ascii="Arial" w:cs="Arial" w:eastAsia="Arial" w:hAnsi="Arial"/>
          <w:sz w:val="18"/>
          <w:szCs w:val="18"/>
          <w:color w:val="auto"/>
        </w:rPr>
        <w:t>In the Exchange Offers, according to the information provided by D.F. King &amp; Co., Inc., the information agent and exchange agent for the Exchange Offers, $7,011,700,000 aggregate principal amount of Pool 1 Notes and $1,934,830,000 aggregate principal amount of Pool 2 Notes were validly tendered and not validly withdrawn at or prior to the Expiration Time, as more fully set forth above.</w:t>
      </w:r>
    </w:p>
    <w:p>
      <w:pPr>
        <w:spacing w:after="0" w:line="203" w:lineRule="exact"/>
        <w:rPr>
          <w:sz w:val="20"/>
          <w:szCs w:val="20"/>
          <w:color w:val="auto"/>
        </w:rPr>
      </w:pPr>
    </w:p>
    <w:p>
      <w:pPr>
        <w:ind w:left="4" w:right="40"/>
        <w:spacing w:after="0"/>
        <w:rPr>
          <w:sz w:val="20"/>
          <w:szCs w:val="20"/>
          <w:color w:val="auto"/>
        </w:rPr>
      </w:pPr>
      <w:r>
        <w:rPr>
          <w:rFonts w:ascii="Arial" w:cs="Arial" w:eastAsia="Arial" w:hAnsi="Arial"/>
          <w:sz w:val="18"/>
          <w:szCs w:val="18"/>
          <w:color w:val="auto"/>
        </w:rPr>
        <w:t>The Exchange Offers expired at 11:59 p.m., New York City time, on March 15, 2021. Following the Expiration Time, tenders of the Existing Notes may not be validly withdrawn. As of the Expiration Time, all conditions to the Exchange Offers were satisfied. Microsoft currently anticipates that the settlement date of the Exchange Offers will be March 17, 2021 (the “Settlement Date”).</w:t>
      </w:r>
    </w:p>
    <w:p>
      <w:pPr>
        <w:spacing w:after="0" w:line="203" w:lineRule="exact"/>
        <w:rPr>
          <w:sz w:val="20"/>
          <w:szCs w:val="20"/>
          <w:color w:val="auto"/>
        </w:rPr>
      </w:pPr>
    </w:p>
    <w:p>
      <w:pPr>
        <w:ind w:left="4" w:right="140"/>
        <w:spacing w:after="0" w:line="248" w:lineRule="auto"/>
        <w:rPr>
          <w:sz w:val="20"/>
          <w:szCs w:val="20"/>
          <w:color w:val="auto"/>
        </w:rPr>
      </w:pPr>
      <w:r>
        <w:rPr>
          <w:rFonts w:ascii="Arial" w:cs="Arial" w:eastAsia="Arial" w:hAnsi="Arial"/>
          <w:sz w:val="17"/>
          <w:szCs w:val="17"/>
          <w:color w:val="auto"/>
        </w:rPr>
        <w:t>Based on the amount of Existing Notes tendered in the Exchange Offers and in accordance with the terms of the Exchange Offers, Microsoft expects to accept, on the Settlement Date, (a) the following Pool 1 Notes validly tendered (and not validly withdrawn): (i) all of the Pool 1 Notes listed in the Pool 1 Table above at Acceptance Priority Levels 1 through 8 and 10 through 12, (ii) $141,904,000 aggregate principal amount of its 3.750% Notes due 2045 (which is less than the amount tendered (and not validly withdrawn) due to minimum denomination requirements of the Exchange Offers) and (iii) $500,673,000 aggregate principal amount of its 3.450% Notes due 2036 with a proration factor for such notes equal to approximately 52% of such notes validly tendered (and not validly withdrawn) and</w:t>
      </w:r>
    </w:p>
    <w:p>
      <w:pPr>
        <w:spacing w:after="0" w:line="3" w:lineRule="exact"/>
        <w:rPr>
          <w:sz w:val="20"/>
          <w:szCs w:val="20"/>
          <w:color w:val="auto"/>
        </w:rPr>
      </w:pPr>
    </w:p>
    <w:p>
      <w:pPr>
        <w:ind w:left="4" w:right="200" w:hanging="4"/>
        <w:spacing w:after="0" w:line="246" w:lineRule="auto"/>
        <w:tabs>
          <w:tab w:leader="none" w:pos="2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Pool 2 Notes validly tendered (and not validly withdrawn). Microsoft does not expect to accept any of the Pool 1 Notes listed in the Pool 1 Table at Acceptance Priority Level 14.</w:t>
      </w:r>
    </w:p>
    <w:p>
      <w:pPr>
        <w:spacing w:after="0" w:line="197" w:lineRule="exact"/>
        <w:rPr>
          <w:sz w:val="20"/>
          <w:szCs w:val="20"/>
          <w:color w:val="auto"/>
        </w:rPr>
      </w:pPr>
    </w:p>
    <w:p>
      <w:pPr>
        <w:ind w:left="4" w:right="100"/>
        <w:spacing w:after="0"/>
        <w:rPr>
          <w:sz w:val="20"/>
          <w:szCs w:val="20"/>
          <w:color w:val="auto"/>
        </w:rPr>
      </w:pPr>
      <w:r>
        <w:rPr>
          <w:rFonts w:ascii="Arial" w:cs="Arial" w:eastAsia="Arial" w:hAnsi="Arial"/>
          <w:sz w:val="18"/>
          <w:szCs w:val="18"/>
          <w:color w:val="auto"/>
        </w:rPr>
        <w:t>On the Settlement Date, Microsoft expects to deliver an aggregate principal amount of $6,250,000,000 of New 2052 Notes and an aggregate principal amount of $1,934,966,000* of New 2062 Notes and cash payments, as applicable, pursuant to Microsoft’s prospectus dated March 4, 2021 (the “Prospectus”), filed with the SEC on March 4, 2021, relating to the New Notes.</w:t>
      </w:r>
    </w:p>
    <w:p>
      <w:pPr>
        <w:sectPr>
          <w:pgSz w:w="11900" w:h="16838" w:orient="portrait"/>
          <w:cols w:equalWidth="0" w:num="1">
            <w:col w:w="11024"/>
          </w:cols>
          <w:pgMar w:left="436" w:top="265"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*revised on March 17, 2021, to reflect updated calculation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Microsoft</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Microsoft (Nasdaq “MSFT” @microsoft) enables digital transformation for the era of an intelligent cloud and an intelligent edge. Its mission is to empower every person and every organization on the planet to achieve more.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Statements in this news release are “forward-looking statements” based on current expectations and assumptions that are subject to risks and uncertainties. Actual results could differ materially because of factors described above as well as:</w:t>
      </w:r>
    </w:p>
    <w:p>
      <w:pPr>
        <w:spacing w:after="0" w:line="102" w:lineRule="exact"/>
        <w:rPr>
          <w:sz w:val="20"/>
          <w:szCs w:val="20"/>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intense competition in all of our markets that may lead to lower revenue or operating margins;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focus on cloud-based services presenting execution and competitive risks;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investments in products and services that may not achieve expected returns;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joint ventures, and strategic alliances that may have an adverse effect on our business;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of goodwill or amortizable intangible assets causing a significant charge to earnings;</w:t>
      </w:r>
    </w:p>
    <w:p>
      <w:pPr>
        <w:spacing w:after="0" w:line="117" w:lineRule="exact"/>
        <w:rPr>
          <w:rFonts w:ascii="Arial" w:cs="Arial" w:eastAsia="Arial" w:hAnsi="Arial"/>
          <w:sz w:val="18"/>
          <w:szCs w:val="18"/>
          <w:color w:val="auto"/>
        </w:rPr>
      </w:pPr>
    </w:p>
    <w:p>
      <w:pPr>
        <w:ind w:left="420" w:right="760" w:hanging="316"/>
        <w:spacing w:after="0" w:line="246"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cyberattacks and security vulnerabilities that could lead to reduced revenue, increased costs, liability claims, or harm to our reputation or competitive position;</w:t>
      </w:r>
    </w:p>
    <w:p>
      <w:pPr>
        <w:spacing w:after="0" w:line="102" w:lineRule="exact"/>
        <w:rPr>
          <w:rFonts w:ascii="Arial" w:cs="Arial" w:eastAsia="Arial" w:hAnsi="Arial"/>
          <w:sz w:val="18"/>
          <w:szCs w:val="18"/>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disclosure and misuse of personal data that could cause liability and harm to our reputation;</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that we may not be able to protect information stored in our products and services from use by others;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abuse of our advertising or social platforms that may harm our reputation or user engagement;</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the internet of things presenting security, privacy, and execution risks;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issues about the use of artificial intelligence in our offerings that may result in competitive harm, legal liability, or reputational harm;</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excessive outages, data losses, and disruptions of our online services if we fail to maintain an adequate operations infrastructure;</w:t>
      </w:r>
    </w:p>
    <w:p>
      <w:pPr>
        <w:sectPr>
          <w:pgSz w:w="11900" w:h="16838" w:orient="portrait"/>
          <w:cols w:equalWidth="0" w:num="1">
            <w:col w:w="10960"/>
          </w:cols>
          <w:pgMar w:left="440" w:top="287" w:right="499" w:bottom="1440" w:gutter="0" w:footer="0" w:header="0"/>
        </w:sectPr>
      </w:pPr>
    </w:p>
    <w:bookmarkStart w:id="35" w:name="page36"/>
    <w:bookmarkEnd w:id="35"/>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quality or supply problems;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litigation and regulatory activity relating to competition rules that may limit how we design and market our products;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liability under trade protection, anti-corruption, and other laws resulting from our global operations;</w:t>
      </w:r>
    </w:p>
    <w:p>
      <w:pPr>
        <w:spacing w:after="0" w:line="117" w:lineRule="exact"/>
        <w:rPr>
          <w:rFonts w:ascii="Arial" w:cs="Arial" w:eastAsia="Arial" w:hAnsi="Arial"/>
          <w:sz w:val="18"/>
          <w:szCs w:val="18"/>
          <w:color w:val="auto"/>
        </w:rPr>
      </w:pPr>
    </w:p>
    <w:p>
      <w:pPr>
        <w:ind w:left="420" w:right="340" w:hanging="316"/>
        <w:spacing w:after="0" w:line="246"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and regulations relating to the handling of personal data that may impede the adoption of our services or result in increased costs, legal claims, fines, or reputational damage;</w:t>
      </w:r>
    </w:p>
    <w:p>
      <w:pPr>
        <w:spacing w:after="0" w:line="102"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against us that may result in adverse outcomes in legal disputes;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relating to our business with government customers;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tax liabilities;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we may fail to protect our source code;</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changes, our evolving business model, piracy, and other factors may decrease the value of our intellectual property;</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that Microsoft has infringed the intellectual property rights of others;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our reputation or our brands that may harm our business and operating results;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economic or market conditions that may harm our business;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catastrophic events or geopolitical conditions, such as the COVID-19 pandemic, that may disrupt our business;</w:t>
      </w:r>
    </w:p>
    <w:p>
      <w:pPr>
        <w:spacing w:after="0" w:line="117" w:lineRule="exact"/>
        <w:rPr>
          <w:rFonts w:ascii="Arial" w:cs="Arial" w:eastAsia="Arial" w:hAnsi="Arial"/>
          <w:sz w:val="18"/>
          <w:szCs w:val="18"/>
          <w:color w:val="auto"/>
        </w:rPr>
      </w:pPr>
    </w:p>
    <w:p>
      <w:pPr>
        <w:ind w:left="420" w:right="460" w:hanging="316"/>
        <w:spacing w:after="0" w:line="246"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increased economic and operational uncertainties from operating a global business, including the effects of foreign currency exchange; and</w:t>
      </w:r>
    </w:p>
    <w:p>
      <w:pPr>
        <w:spacing w:after="0" w:line="102" w:lineRule="exact"/>
        <w:rPr>
          <w:rFonts w:ascii="Arial" w:cs="Arial" w:eastAsia="Arial" w:hAnsi="Arial"/>
          <w:sz w:val="18"/>
          <w:szCs w:val="18"/>
          <w:color w:val="auto"/>
        </w:rPr>
      </w:pPr>
    </w:p>
    <w:p>
      <w:pPr>
        <w:ind w:left="420" w:hanging="3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dependence of our business on our ability to attract and retain talented employees.</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that are incorporated by reference in the Prospectus forming a part of the Registration Statement, copies of which may be obtained by contacting Microsoft’s Investor Relations department at (800)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285-7772 or at Microsoft’s Investor Relations website at http://www.microsoft.com/en-us/investor.</w:t>
      </w:r>
    </w:p>
    <w:sectPr>
      <w:pgSz w:w="11900" w:h="16838" w:orient="portrait"/>
      <w:cols w:equalWidth="0" w:num="1">
        <w:col w:w="10980"/>
      </w:cols>
      <w:pgMar w:left="440" w:top="28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1)"/>
      <w:numFmt w:val="lowerLetter"/>
      <w:start w:val="1"/>
    </w:lvl>
    <w:lvl w:ilvl="1">
      <w:lvlJc w:val="left"/>
      <w:lvlText w:val="(%2)"/>
      <w:numFmt w:val="lowerRoman"/>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2"/>
    </w:lvl>
  </w:abstractNum>
  <w:abstractNum w:abstractNumId="8">
    <w:nsid w:val="1190CDE7"/>
    <w:multiLevelType w:val="hybridMultilevel"/>
    <w:lvl w:ilvl="0">
      <w:lvlJc w:val="left"/>
      <w:lvlText w:val="(%1)"/>
      <w:numFmt w:val="lowerRoman"/>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2021-03-17T16:24:37Z</dcterms:created>
  <dcterms:modified xsi:type="dcterms:W3CDTF">2021-03-17T16:24:37Z</dcterms:modified>
</cp:coreProperties>
</file>