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4980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8094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List Teri</w:t>
              </w:r>
            </w:hyperlink>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40" w:type="dxa"/>
            <w:vAlign w:val="bottom"/>
            <w:gridSpan w:val="7"/>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MICROSOFT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MSFT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9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620" w:type="dxa"/>
            <w:vAlign w:val="bottom"/>
            <w:gridSpan w:val="5"/>
            <w:vMerge w:val="restart"/>
          </w:tcPr>
          <w:p>
            <w:pPr>
              <w:ind w:left="240"/>
              <w:spacing w:after="0"/>
              <w:rPr>
                <w:sz w:val="20"/>
                <w:szCs w:val="20"/>
                <w:color w:val="auto"/>
              </w:rPr>
            </w:pPr>
            <w:r>
              <w:rPr>
                <w:rFonts w:ascii="Arial" w:cs="Arial" w:eastAsia="Arial" w:hAnsi="Arial"/>
                <w:sz w:val="17"/>
                <w:szCs w:val="17"/>
                <w:color w:val="0000FF"/>
              </w:rPr>
              <w:t>12/09/2021</w:t>
            </w: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C/O MICROSOFT CORPORATION</w:t>
            </w:r>
          </w:p>
        </w:tc>
        <w:tc>
          <w:tcPr>
            <w:tcW w:w="16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ONE MICROSOFT WAY</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7"/>
                <w:szCs w:val="17"/>
                <w:color w:val="0000FF"/>
              </w:rPr>
              <w:t>REDMOND</w:t>
            </w:r>
          </w:p>
        </w:tc>
        <w:tc>
          <w:tcPr>
            <w:tcW w:w="1200" w:type="dxa"/>
            <w:vAlign w:val="bottom"/>
            <w:gridSpan w:val="2"/>
          </w:tcPr>
          <w:p>
            <w:pPr>
              <w:spacing w:after="0"/>
              <w:rPr>
                <w:sz w:val="20"/>
                <w:szCs w:val="20"/>
                <w:color w:val="auto"/>
              </w:rPr>
            </w:pPr>
            <w:r>
              <w:rPr>
                <w:rFonts w:ascii="Arial" w:cs="Arial" w:eastAsia="Arial" w:hAnsi="Arial"/>
                <w:sz w:val="17"/>
                <w:szCs w:val="17"/>
                <w:color w:val="0000FF"/>
              </w:rPr>
              <w:t>WA</w:t>
            </w:r>
          </w:p>
        </w:tc>
        <w:tc>
          <w:tcPr>
            <w:tcW w:w="1140" w:type="dxa"/>
            <w:vAlign w:val="bottom"/>
          </w:tcPr>
          <w:p>
            <w:pPr>
              <w:ind w:left="20"/>
              <w:spacing w:after="0"/>
              <w:rPr>
                <w:sz w:val="20"/>
                <w:szCs w:val="20"/>
                <w:color w:val="auto"/>
              </w:rPr>
            </w:pPr>
            <w:r>
              <w:rPr>
                <w:rFonts w:ascii="Arial" w:cs="Arial" w:eastAsia="Arial" w:hAnsi="Arial"/>
                <w:sz w:val="17"/>
                <w:szCs w:val="17"/>
                <w:color w:val="0000FF"/>
              </w:rPr>
              <w:t>98052-6399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6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7"/>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5"/>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1,654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52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vMerge w:val="restart"/>
          </w:tcPr>
          <w:p>
            <w:pPr>
              <w:ind w:left="160"/>
              <w:spacing w:after="0"/>
              <w:rPr>
                <w:sz w:val="20"/>
                <w:szCs w:val="20"/>
                <w:color w:val="auto"/>
              </w:rPr>
            </w:pPr>
            <w:r>
              <w:rPr>
                <w:rFonts w:ascii="Arial" w:cs="Arial" w:eastAsia="Arial" w:hAnsi="Arial"/>
                <w:sz w:val="25"/>
                <w:szCs w:val="25"/>
                <w:color w:val="0000FF"/>
                <w:vertAlign w:val="subscript"/>
              </w:rPr>
              <w:t>40</w:t>
            </w:r>
            <w:r>
              <w:rPr>
                <w:rFonts w:ascii="Arial" w:cs="Arial" w:eastAsia="Arial" w:hAnsi="Arial"/>
                <w:sz w:val="11"/>
                <w:szCs w:val="11"/>
                <w:color w:val="008000"/>
              </w:rPr>
              <w:t>(2)</w:t>
            </w:r>
          </w:p>
        </w:tc>
        <w:tc>
          <w:tcPr>
            <w:tcW w:w="400" w:type="dxa"/>
            <w:vAlign w:val="bottom"/>
            <w:gridSpan w:val="2"/>
            <w:vMerge w:val="restart"/>
          </w:tcPr>
          <w:p>
            <w:pPr>
              <w:ind w:left="260"/>
              <w:spacing w:after="0"/>
              <w:rPr>
                <w:sz w:val="20"/>
                <w:szCs w:val="20"/>
                <w:color w:val="auto"/>
              </w:rPr>
            </w:pPr>
            <w:r>
              <w:rPr>
                <w:rFonts w:ascii="Arial" w:cs="Arial" w:eastAsia="Arial" w:hAnsi="Arial"/>
                <w:sz w:val="11"/>
                <w:szCs w:val="11"/>
                <w:color w:val="008000"/>
                <w:w w:val="88"/>
              </w:rPr>
              <w:t>(3)</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40</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21,921</w:t>
            </w:r>
            <w:r>
              <w:rPr>
                <w:rFonts w:ascii="Arial" w:cs="Arial" w:eastAsia="Arial" w:hAnsi="Arial"/>
                <w:sz w:val="21"/>
                <w:szCs w:val="21"/>
                <w:color w:val="008000"/>
                <w:vertAlign w:val="superscript"/>
              </w:rPr>
              <w:t>(4)</w:t>
            </w: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12/09/2021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3" w:lineRule="exact"/>
              <w:rPr>
                <w:sz w:val="20"/>
                <w:szCs w:val="20"/>
                <w:color w:val="auto"/>
              </w:rPr>
            </w:pPr>
            <w:r>
              <w:rPr>
                <w:rFonts w:ascii="Arial" w:cs="Arial" w:eastAsia="Arial" w:hAnsi="Arial"/>
                <w:sz w:val="13"/>
                <w:szCs w:val="13"/>
                <w:color w:val="0000FF"/>
              </w:rPr>
              <w:t>A</w:t>
            </w:r>
          </w:p>
        </w:tc>
        <w:tc>
          <w:tcPr>
            <w:tcW w:w="900" w:type="dxa"/>
            <w:vAlign w:val="bottom"/>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Microsoft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 equivalent rights accrue when and as dividends are paid on the Company's common stock and become exercisable proportionately with the restricted stock units to which they relate.</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are fully vested. Delivery of the shares to the reporting person will be made thirty days after the date of the reporting person's separation from service to the Board of Directors.</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one share as a result of accumulated fractional shares.</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Ann Habernigg,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12/10/2021</w:t>
            </w:r>
          </w:p>
        </w:tc>
        <w:tc>
          <w:tcPr>
            <w:tcW w:w="0" w:type="dxa"/>
            <w:vAlign w:val="bottom"/>
          </w:tcPr>
          <w:p>
            <w:pPr>
              <w:spacing w:after="0"/>
              <w:rPr>
                <w:sz w:val="1"/>
                <w:szCs w:val="1"/>
                <w:color w:val="auto"/>
              </w:rPr>
            </w:pPr>
          </w:p>
        </w:tc>
      </w:tr>
      <w:tr>
        <w:trPr>
          <w:trHeight w:val="84"/>
        </w:trPr>
        <w:tc>
          <w:tcPr>
            <w:tcW w:w="208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 for Teri List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29370"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2021-12-10T17:10:06Z</dcterms:created>
  <dcterms:modified xsi:type="dcterms:W3CDTF">2021-12-10T17:10:06Z</dcterms:modified>
</cp:coreProperties>
</file>